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900" w:rsidRPr="00823700" w:rsidRDefault="00944900" w:rsidP="00944900">
      <w:pPr>
        <w:widowControl w:val="0"/>
        <w:autoSpaceDE w:val="0"/>
        <w:autoSpaceDN w:val="0"/>
        <w:adjustRightInd w:val="0"/>
        <w:spacing w:before="120" w:after="120" w:line="260" w:lineRule="exact"/>
        <w:rPr>
          <w:rFonts w:ascii="Arial" w:hAnsi="Arial" w:cs="Arial"/>
          <w:sz w:val="20"/>
          <w:szCs w:val="20"/>
          <w:u w:val="single"/>
        </w:rPr>
      </w:pPr>
      <w:r w:rsidRPr="00823700">
        <w:rPr>
          <w:rFonts w:ascii="Arial" w:hAnsi="Arial" w:cs="Arial"/>
          <w:sz w:val="20"/>
          <w:szCs w:val="20"/>
          <w:u w:val="single"/>
        </w:rPr>
        <w:t>3.</w:t>
      </w:r>
      <w:r>
        <w:rPr>
          <w:rFonts w:ascii="Arial" w:hAnsi="Arial" w:cs="Arial"/>
          <w:sz w:val="20"/>
          <w:szCs w:val="20"/>
          <w:u w:val="single"/>
        </w:rPr>
        <w:t>3</w:t>
      </w:r>
      <w:r w:rsidRPr="00823700">
        <w:rPr>
          <w:rFonts w:ascii="Arial" w:hAnsi="Arial" w:cs="Arial"/>
          <w:sz w:val="20"/>
          <w:szCs w:val="20"/>
          <w:u w:val="single"/>
        </w:rPr>
        <w:t xml:space="preserve"> Activos financieros y pasivos financieros</w:t>
      </w:r>
    </w:p>
    <w:p w:rsidR="00944900" w:rsidRPr="00823700" w:rsidRDefault="00944900" w:rsidP="00944900">
      <w:pPr>
        <w:pStyle w:val="Textoindependiente"/>
        <w:spacing w:before="120" w:line="260" w:lineRule="exact"/>
        <w:ind w:right="28"/>
        <w:rPr>
          <w:noProof w:val="0"/>
          <w:color w:val="auto"/>
          <w:sz w:val="20"/>
          <w:szCs w:val="20"/>
          <w:lang w:val="es-ES"/>
        </w:rPr>
      </w:pPr>
      <w:r w:rsidRPr="00823700">
        <w:rPr>
          <w:noProof w:val="0"/>
          <w:color w:val="auto"/>
          <w:sz w:val="20"/>
          <w:szCs w:val="20"/>
          <w:lang w:val="es-ES"/>
        </w:rPr>
        <w:t>La Sociedad tiene registrados en el capítulo de instrumentos financieros, aquellos contratos que dan lugar a un activo financiero en una empresa y, simultáneamente, a un pasivo financiero o a un instrumento de patrimonio en otra empresa. Se consideran, por tanto, instrumentos financieros, los siguientes. La presente norma resulta</w:t>
      </w:r>
      <w:r>
        <w:rPr>
          <w:noProof w:val="0"/>
          <w:color w:val="auto"/>
          <w:sz w:val="20"/>
          <w:szCs w:val="20"/>
          <w:lang w:val="es-ES"/>
        </w:rPr>
        <w:t xml:space="preserve"> de aplicación a los siguientes:</w:t>
      </w:r>
    </w:p>
    <w:p w:rsidR="00944900" w:rsidRPr="00086348" w:rsidRDefault="00944900" w:rsidP="00944900">
      <w:pPr>
        <w:pStyle w:val="Textoindependiente"/>
        <w:keepNext/>
        <w:keepLines/>
        <w:spacing w:before="120" w:line="260" w:lineRule="exact"/>
        <w:ind w:left="142" w:right="28"/>
        <w:rPr>
          <w:sz w:val="20"/>
          <w:szCs w:val="20"/>
        </w:rPr>
      </w:pPr>
      <w:r w:rsidRPr="00086348">
        <w:rPr>
          <w:sz w:val="20"/>
          <w:szCs w:val="20"/>
        </w:rPr>
        <w:t>a) Activos financieros:</w:t>
      </w:r>
    </w:p>
    <w:p w:rsidR="00944900" w:rsidRPr="00823700" w:rsidRDefault="00944900" w:rsidP="00944900">
      <w:pPr>
        <w:pStyle w:val="Textoindependiente"/>
        <w:keepNext/>
        <w:keepLines/>
        <w:numPr>
          <w:ilvl w:val="0"/>
          <w:numId w:val="6"/>
        </w:numPr>
        <w:tabs>
          <w:tab w:val="clear" w:pos="1068"/>
        </w:tabs>
        <w:spacing w:before="120" w:line="260" w:lineRule="exact"/>
        <w:ind w:left="709" w:right="28"/>
        <w:rPr>
          <w:noProof w:val="0"/>
          <w:color w:val="auto"/>
          <w:sz w:val="20"/>
          <w:szCs w:val="20"/>
          <w:lang w:val="es-ES"/>
        </w:rPr>
      </w:pPr>
      <w:r w:rsidRPr="00823700">
        <w:rPr>
          <w:noProof w:val="0"/>
          <w:color w:val="auto"/>
          <w:sz w:val="20"/>
          <w:szCs w:val="20"/>
          <w:lang w:val="es-ES"/>
        </w:rPr>
        <w:t>Efectivo y otros activos líquidos equivalentes.</w:t>
      </w:r>
    </w:p>
    <w:p w:rsidR="00944900" w:rsidRPr="00823700" w:rsidRDefault="00944900" w:rsidP="00944900">
      <w:pPr>
        <w:pStyle w:val="Textoindependiente"/>
        <w:numPr>
          <w:ilvl w:val="0"/>
          <w:numId w:val="6"/>
        </w:numPr>
        <w:tabs>
          <w:tab w:val="clear" w:pos="1068"/>
        </w:tabs>
        <w:spacing w:before="120" w:line="260" w:lineRule="exact"/>
        <w:ind w:left="709" w:right="28"/>
        <w:rPr>
          <w:noProof w:val="0"/>
          <w:color w:val="auto"/>
          <w:sz w:val="20"/>
          <w:szCs w:val="20"/>
          <w:lang w:val="es-ES"/>
        </w:rPr>
      </w:pPr>
      <w:r w:rsidRPr="00823700">
        <w:rPr>
          <w:noProof w:val="0"/>
          <w:color w:val="auto"/>
          <w:sz w:val="20"/>
          <w:szCs w:val="20"/>
          <w:lang w:val="es-ES"/>
        </w:rPr>
        <w:t>Créditos por operaciones comerciales: clientes y deudores varios</w:t>
      </w:r>
    </w:p>
    <w:p w:rsidR="00944900" w:rsidRPr="00823700" w:rsidRDefault="00944900" w:rsidP="00944900">
      <w:pPr>
        <w:pStyle w:val="Textoindependiente"/>
        <w:numPr>
          <w:ilvl w:val="0"/>
          <w:numId w:val="6"/>
        </w:numPr>
        <w:tabs>
          <w:tab w:val="clear" w:pos="1068"/>
        </w:tabs>
        <w:spacing w:before="120" w:line="260" w:lineRule="exact"/>
        <w:ind w:left="709" w:right="28"/>
        <w:rPr>
          <w:noProof w:val="0"/>
          <w:color w:val="auto"/>
          <w:sz w:val="20"/>
          <w:szCs w:val="20"/>
          <w:lang w:val="es-ES"/>
        </w:rPr>
      </w:pPr>
      <w:r w:rsidRPr="00823700">
        <w:rPr>
          <w:noProof w:val="0"/>
          <w:color w:val="auto"/>
          <w:sz w:val="20"/>
          <w:szCs w:val="20"/>
          <w:lang w:val="es-ES"/>
        </w:rPr>
        <w:t>Créditos a terceros: tales como los préstamos y créditos financieros concedidos, incluidos los surgidos de la venta de activos no corrientes;</w:t>
      </w:r>
    </w:p>
    <w:p w:rsidR="00944900" w:rsidRPr="00823700" w:rsidRDefault="00944900" w:rsidP="00944900">
      <w:pPr>
        <w:pStyle w:val="Textoindependiente"/>
        <w:numPr>
          <w:ilvl w:val="0"/>
          <w:numId w:val="6"/>
        </w:numPr>
        <w:tabs>
          <w:tab w:val="clear" w:pos="1068"/>
        </w:tabs>
        <w:spacing w:before="120" w:line="260" w:lineRule="exact"/>
        <w:ind w:left="709" w:right="28"/>
        <w:rPr>
          <w:noProof w:val="0"/>
          <w:color w:val="auto"/>
          <w:sz w:val="20"/>
          <w:szCs w:val="20"/>
          <w:lang w:val="es-ES"/>
        </w:rPr>
      </w:pPr>
      <w:r w:rsidRPr="00823700">
        <w:rPr>
          <w:noProof w:val="0"/>
          <w:color w:val="auto"/>
          <w:sz w:val="20"/>
          <w:szCs w:val="20"/>
          <w:lang w:val="es-ES"/>
        </w:rPr>
        <w:t>Valores representativos de deuda de otras empresas adquiridos: tales como las obligaciones, bonos y pagarés;</w:t>
      </w:r>
    </w:p>
    <w:p w:rsidR="00944900" w:rsidRPr="00823700" w:rsidRDefault="00944900" w:rsidP="00944900">
      <w:pPr>
        <w:pStyle w:val="Textoindependiente"/>
        <w:numPr>
          <w:ilvl w:val="0"/>
          <w:numId w:val="6"/>
        </w:numPr>
        <w:tabs>
          <w:tab w:val="clear" w:pos="1068"/>
        </w:tabs>
        <w:spacing w:before="120" w:line="260" w:lineRule="exact"/>
        <w:ind w:left="709" w:right="28" w:hanging="218"/>
        <w:rPr>
          <w:sz w:val="20"/>
          <w:szCs w:val="20"/>
          <w:lang w:val="es-ES"/>
        </w:rPr>
      </w:pPr>
      <w:r w:rsidRPr="00823700">
        <w:rPr>
          <w:sz w:val="20"/>
          <w:szCs w:val="20"/>
          <w:lang w:val="es-ES"/>
        </w:rPr>
        <w:t>Instrumentos de patrimonio de otras empresas adquiridos: acciones, participaciones en instituciones de inversión colectiva y otros instrumentos de patrimonio;</w:t>
      </w:r>
    </w:p>
    <w:p w:rsidR="00944900" w:rsidRPr="00823700" w:rsidRDefault="00944900" w:rsidP="00944900">
      <w:pPr>
        <w:pStyle w:val="Textoindependiente"/>
        <w:numPr>
          <w:ilvl w:val="0"/>
          <w:numId w:val="6"/>
        </w:numPr>
        <w:tabs>
          <w:tab w:val="clear" w:pos="1068"/>
        </w:tabs>
        <w:spacing w:before="120" w:line="260" w:lineRule="exact"/>
        <w:ind w:left="709" w:right="28" w:hanging="218"/>
        <w:rPr>
          <w:sz w:val="20"/>
          <w:szCs w:val="20"/>
          <w:lang w:val="es-ES"/>
        </w:rPr>
      </w:pPr>
      <w:r w:rsidRPr="00823700">
        <w:rPr>
          <w:sz w:val="20"/>
          <w:szCs w:val="20"/>
          <w:lang w:val="es-ES"/>
        </w:rPr>
        <w:t>Derivados con valoración favorable para la empresa: entre ellos, futuros, opciones, permutas financieras y compraventa de moneda extranjera a plazo, y</w:t>
      </w:r>
    </w:p>
    <w:p w:rsidR="00944900" w:rsidRPr="00823700" w:rsidRDefault="00944900" w:rsidP="00944900">
      <w:pPr>
        <w:pStyle w:val="Textoindependiente"/>
        <w:numPr>
          <w:ilvl w:val="0"/>
          <w:numId w:val="6"/>
        </w:numPr>
        <w:tabs>
          <w:tab w:val="clear" w:pos="1068"/>
        </w:tabs>
        <w:spacing w:before="120" w:line="260" w:lineRule="exact"/>
        <w:ind w:left="709" w:right="28" w:hanging="215"/>
        <w:rPr>
          <w:sz w:val="20"/>
          <w:szCs w:val="20"/>
          <w:lang w:val="es-ES"/>
        </w:rPr>
      </w:pPr>
      <w:r w:rsidRPr="00823700">
        <w:rPr>
          <w:sz w:val="20"/>
          <w:szCs w:val="20"/>
          <w:lang w:val="es-ES"/>
        </w:rPr>
        <w:t>Otros activos financieros: tales como depósitos en entidades de crédito, anticipos y créditos al personal, fianzas y depósitos constituidos, dividendos a cobrar y desembolsos exigidos sobre instrumentos de patrimonio propio.</w:t>
      </w:r>
    </w:p>
    <w:p w:rsidR="00944900" w:rsidRPr="00823700" w:rsidRDefault="00944900" w:rsidP="00944900">
      <w:pPr>
        <w:pStyle w:val="Textoindependiente"/>
        <w:spacing w:before="120" w:line="260" w:lineRule="exact"/>
        <w:ind w:left="142" w:right="28"/>
        <w:rPr>
          <w:sz w:val="20"/>
          <w:szCs w:val="20"/>
        </w:rPr>
      </w:pPr>
      <w:r w:rsidRPr="00823700">
        <w:rPr>
          <w:sz w:val="20"/>
          <w:szCs w:val="20"/>
        </w:rPr>
        <w:t>b) Pasivos financieros:</w:t>
      </w:r>
    </w:p>
    <w:p w:rsidR="00944900" w:rsidRPr="00823700" w:rsidRDefault="00944900" w:rsidP="00944900">
      <w:pPr>
        <w:pStyle w:val="Textoindependiente"/>
        <w:numPr>
          <w:ilvl w:val="0"/>
          <w:numId w:val="6"/>
        </w:numPr>
        <w:tabs>
          <w:tab w:val="clear" w:pos="1068"/>
        </w:tabs>
        <w:spacing w:before="120" w:line="260" w:lineRule="exact"/>
        <w:ind w:left="708" w:right="28" w:hanging="215"/>
        <w:rPr>
          <w:sz w:val="20"/>
          <w:szCs w:val="20"/>
          <w:lang w:val="es-ES"/>
        </w:rPr>
      </w:pPr>
      <w:r w:rsidRPr="00823700">
        <w:rPr>
          <w:sz w:val="20"/>
          <w:szCs w:val="20"/>
          <w:lang w:val="es-ES"/>
        </w:rPr>
        <w:t>Débitos por operaciones comerciales: proveedores y acreedores varios;</w:t>
      </w:r>
    </w:p>
    <w:p w:rsidR="00944900" w:rsidRPr="00823700" w:rsidRDefault="00944900" w:rsidP="00944900">
      <w:pPr>
        <w:pStyle w:val="Textoindependiente"/>
        <w:numPr>
          <w:ilvl w:val="0"/>
          <w:numId w:val="6"/>
        </w:numPr>
        <w:tabs>
          <w:tab w:val="clear" w:pos="1068"/>
        </w:tabs>
        <w:spacing w:before="120" w:line="260" w:lineRule="exact"/>
        <w:ind w:left="708" w:right="28" w:hanging="215"/>
        <w:rPr>
          <w:sz w:val="20"/>
          <w:szCs w:val="20"/>
          <w:lang w:val="es-ES"/>
        </w:rPr>
      </w:pPr>
      <w:r w:rsidRPr="00823700">
        <w:rPr>
          <w:sz w:val="20"/>
          <w:szCs w:val="20"/>
          <w:lang w:val="es-ES"/>
        </w:rPr>
        <w:t>Deudas con entidades de crédito;</w:t>
      </w:r>
    </w:p>
    <w:p w:rsidR="00944900" w:rsidRPr="00823700" w:rsidRDefault="00944900" w:rsidP="00944900">
      <w:pPr>
        <w:pStyle w:val="Textoindependiente"/>
        <w:numPr>
          <w:ilvl w:val="0"/>
          <w:numId w:val="6"/>
        </w:numPr>
        <w:tabs>
          <w:tab w:val="clear" w:pos="1068"/>
        </w:tabs>
        <w:spacing w:before="120" w:line="260" w:lineRule="exact"/>
        <w:ind w:left="708" w:right="28" w:hanging="215"/>
        <w:rPr>
          <w:sz w:val="20"/>
          <w:szCs w:val="20"/>
          <w:lang w:val="es-ES"/>
        </w:rPr>
      </w:pPr>
      <w:r w:rsidRPr="00823700">
        <w:rPr>
          <w:sz w:val="20"/>
          <w:szCs w:val="20"/>
          <w:lang w:val="es-ES"/>
        </w:rPr>
        <w:t>Obligaciones y otros valores negociables emitidos: tales como bonos y pagarés;</w:t>
      </w:r>
    </w:p>
    <w:p w:rsidR="00944900" w:rsidRPr="00823700" w:rsidRDefault="00944900" w:rsidP="00944900">
      <w:pPr>
        <w:pStyle w:val="Textoindependiente"/>
        <w:numPr>
          <w:ilvl w:val="0"/>
          <w:numId w:val="6"/>
        </w:numPr>
        <w:tabs>
          <w:tab w:val="clear" w:pos="1068"/>
        </w:tabs>
        <w:spacing w:before="120" w:line="260" w:lineRule="exact"/>
        <w:ind w:left="708" w:right="28" w:hanging="215"/>
        <w:rPr>
          <w:sz w:val="20"/>
          <w:szCs w:val="20"/>
          <w:lang w:val="es-ES"/>
        </w:rPr>
      </w:pPr>
      <w:r w:rsidRPr="00823700">
        <w:rPr>
          <w:sz w:val="20"/>
          <w:szCs w:val="20"/>
          <w:lang w:val="es-ES"/>
        </w:rPr>
        <w:t>Derivados con valoración desfavorable para la empresa: entre ellos, futuros, opciones, permutas financieras y compraventa de moneda extranjera a plazo;</w:t>
      </w:r>
    </w:p>
    <w:p w:rsidR="00944900" w:rsidRPr="00823700" w:rsidRDefault="00944900" w:rsidP="00944900">
      <w:pPr>
        <w:pStyle w:val="Textoindependiente"/>
        <w:numPr>
          <w:ilvl w:val="0"/>
          <w:numId w:val="6"/>
        </w:numPr>
        <w:tabs>
          <w:tab w:val="clear" w:pos="1068"/>
        </w:tabs>
        <w:spacing w:before="120" w:line="260" w:lineRule="exact"/>
        <w:ind w:left="708" w:right="28" w:hanging="215"/>
        <w:rPr>
          <w:sz w:val="20"/>
          <w:szCs w:val="20"/>
        </w:rPr>
      </w:pPr>
      <w:r w:rsidRPr="00823700">
        <w:rPr>
          <w:sz w:val="20"/>
          <w:szCs w:val="20"/>
        </w:rPr>
        <w:t>Deudas con características especiales, y</w:t>
      </w:r>
    </w:p>
    <w:p w:rsidR="00944900" w:rsidRPr="00823700" w:rsidRDefault="00944900" w:rsidP="00944900">
      <w:pPr>
        <w:pStyle w:val="Textoindependiente"/>
        <w:numPr>
          <w:ilvl w:val="0"/>
          <w:numId w:val="6"/>
        </w:numPr>
        <w:tabs>
          <w:tab w:val="clear" w:pos="1068"/>
        </w:tabs>
        <w:spacing w:before="120" w:line="260" w:lineRule="exact"/>
        <w:ind w:left="708" w:right="28" w:hanging="215"/>
        <w:rPr>
          <w:sz w:val="20"/>
          <w:szCs w:val="20"/>
          <w:lang w:val="es-ES"/>
        </w:rPr>
      </w:pPr>
      <w:r w:rsidRPr="00823700">
        <w:rPr>
          <w:sz w:val="20"/>
          <w:szCs w:val="20"/>
          <w:lang w:val="es-ES"/>
        </w:rPr>
        <w:t>Otros pasivos financieros: deudas con terceros, tales como los préstamos y créditos financieros recibidos de personas o empresas que no sean entidades de crédito incluidos los surgidos en la compra de activos no corrientes, fianzas y depósitos recibidos y desembolsos exigidos por terceros sobre participaciones.</w:t>
      </w:r>
    </w:p>
    <w:p w:rsidR="00944900" w:rsidRPr="00124383" w:rsidRDefault="00944900" w:rsidP="00944900">
      <w:pPr>
        <w:pStyle w:val="Textoindependiente"/>
        <w:spacing w:before="120" w:line="260" w:lineRule="exact"/>
        <w:ind w:left="142" w:right="28"/>
        <w:rPr>
          <w:sz w:val="20"/>
          <w:szCs w:val="20"/>
          <w:lang w:val="es-ES"/>
        </w:rPr>
      </w:pPr>
      <w:r w:rsidRPr="00124383">
        <w:rPr>
          <w:sz w:val="20"/>
          <w:szCs w:val="20"/>
          <w:lang w:val="es-ES"/>
        </w:rPr>
        <w:t>c) Instrumentos de patrimonio propio: todos los instrumentos financieros que se incluyen dentro de los fondos propios, tal como las acciones ordinarias emitidas</w:t>
      </w:r>
    </w:p>
    <w:p w:rsidR="00944900" w:rsidRPr="00823700" w:rsidRDefault="00944900" w:rsidP="00944900">
      <w:pPr>
        <w:pStyle w:val="Textoindependiente"/>
        <w:spacing w:before="120" w:line="260" w:lineRule="exact"/>
        <w:ind w:right="28"/>
        <w:rPr>
          <w:sz w:val="20"/>
          <w:szCs w:val="20"/>
          <w:u w:val="single"/>
          <w:lang w:val="es-ES"/>
        </w:rPr>
      </w:pPr>
      <w:r w:rsidRPr="00823700">
        <w:rPr>
          <w:sz w:val="20"/>
          <w:szCs w:val="20"/>
          <w:u w:val="single"/>
          <w:lang w:val="es-ES"/>
        </w:rPr>
        <w:t>3.</w:t>
      </w:r>
      <w:r>
        <w:rPr>
          <w:sz w:val="20"/>
          <w:szCs w:val="20"/>
          <w:u w:val="single"/>
          <w:lang w:val="es-ES"/>
        </w:rPr>
        <w:t>3</w:t>
      </w:r>
      <w:r w:rsidRPr="00823700">
        <w:rPr>
          <w:sz w:val="20"/>
          <w:szCs w:val="20"/>
          <w:u w:val="single"/>
          <w:lang w:val="es-ES"/>
        </w:rPr>
        <w:t>.1. Inversiones financieras a largo y corto plazo</w:t>
      </w:r>
    </w:p>
    <w:p w:rsidR="00944900" w:rsidRPr="00823700" w:rsidRDefault="00944900" w:rsidP="00944900">
      <w:pPr>
        <w:pStyle w:val="Textoindependiente"/>
        <w:spacing w:before="120" w:line="260" w:lineRule="exact"/>
        <w:ind w:right="28"/>
        <w:rPr>
          <w:sz w:val="20"/>
          <w:szCs w:val="20"/>
          <w:lang w:val="es-ES"/>
        </w:rPr>
      </w:pPr>
      <w:r w:rsidRPr="00823700">
        <w:rPr>
          <w:sz w:val="20"/>
          <w:szCs w:val="20"/>
          <w:u w:val="single"/>
          <w:lang w:val="es-ES"/>
        </w:rPr>
        <w:t>Préstamos y cuentas por cobrar</w:t>
      </w:r>
      <w:r w:rsidRPr="00823700">
        <w:rPr>
          <w:sz w:val="20"/>
          <w:szCs w:val="20"/>
          <w:lang w:val="es-ES"/>
        </w:rPr>
        <w:t>:</w:t>
      </w:r>
    </w:p>
    <w:p w:rsidR="00944900" w:rsidRPr="00823700" w:rsidRDefault="00944900" w:rsidP="00944900">
      <w:pPr>
        <w:pStyle w:val="Textoindependiente"/>
        <w:spacing w:before="120" w:line="260" w:lineRule="exact"/>
        <w:ind w:right="28"/>
        <w:rPr>
          <w:sz w:val="20"/>
          <w:szCs w:val="20"/>
          <w:lang w:val="es-ES"/>
        </w:rPr>
      </w:pPr>
      <w:r>
        <w:rPr>
          <w:sz w:val="20"/>
          <w:szCs w:val="20"/>
          <w:lang w:val="es-ES"/>
        </w:rPr>
        <w:t>S</w:t>
      </w:r>
      <w:r w:rsidRPr="00823700">
        <w:rPr>
          <w:sz w:val="20"/>
          <w:szCs w:val="20"/>
          <w:lang w:val="es-ES"/>
        </w:rPr>
        <w:t>e registran a su coste amortizado, correspondiendo al efectivo entregado, menos las devoluciones del principal efectuadas, más los intereses devengados no cobrados en el caso de los préstamos, y al valor actual de la contraprestación realizada en el caso de las cuentas por cobrar. La Sociedad registra los correspondientes deterioros por la diferencia existente entre el importe a recuperar de las cuentas por cobrar y el valor en libros por el que se encuentran registradas.</w:t>
      </w:r>
    </w:p>
    <w:p w:rsidR="00944900" w:rsidRPr="00823700" w:rsidRDefault="00944900" w:rsidP="00944900">
      <w:pPr>
        <w:pStyle w:val="Textoindependiente"/>
        <w:spacing w:before="120" w:line="260" w:lineRule="exact"/>
        <w:ind w:right="28"/>
        <w:rPr>
          <w:sz w:val="20"/>
          <w:szCs w:val="20"/>
          <w:lang w:val="es-ES"/>
        </w:rPr>
      </w:pPr>
      <w:r w:rsidRPr="00823700">
        <w:rPr>
          <w:sz w:val="20"/>
          <w:szCs w:val="20"/>
          <w:u w:val="single"/>
          <w:lang w:val="es-ES"/>
        </w:rPr>
        <w:t>Inversiones mantenidas hasta su vencimiento</w:t>
      </w:r>
      <w:r w:rsidRPr="00823700">
        <w:rPr>
          <w:sz w:val="20"/>
          <w:szCs w:val="20"/>
          <w:lang w:val="es-ES"/>
        </w:rPr>
        <w:t xml:space="preserve">: </w:t>
      </w:r>
    </w:p>
    <w:p w:rsidR="00944900" w:rsidRPr="00823700" w:rsidRDefault="00944900" w:rsidP="00944900">
      <w:pPr>
        <w:pStyle w:val="Textoindependiente"/>
        <w:spacing w:before="120" w:line="260" w:lineRule="exact"/>
        <w:ind w:right="28"/>
        <w:rPr>
          <w:sz w:val="20"/>
          <w:szCs w:val="20"/>
          <w:lang w:val="es-ES"/>
        </w:rPr>
      </w:pPr>
      <w:r>
        <w:rPr>
          <w:sz w:val="20"/>
          <w:szCs w:val="20"/>
          <w:lang w:val="es-ES"/>
        </w:rPr>
        <w:t>A</w:t>
      </w:r>
      <w:r w:rsidRPr="00823700">
        <w:rPr>
          <w:sz w:val="20"/>
          <w:szCs w:val="20"/>
          <w:lang w:val="es-ES"/>
        </w:rPr>
        <w:t>quellos valores representativos de deuda, con una fecha de vencimiento fijada, cobros de cuantía determinada o determinable, que se negocien en un mercado activo y que la Sociedad tiene intención y capacidad de conservar hasta su vencimiento. Se contabilizan a su coste amortizado.</w:t>
      </w:r>
    </w:p>
    <w:p w:rsidR="00944900" w:rsidRPr="00823700" w:rsidRDefault="00944900" w:rsidP="00944900">
      <w:pPr>
        <w:pStyle w:val="Textoindependiente"/>
        <w:spacing w:before="120" w:line="260" w:lineRule="exact"/>
        <w:ind w:right="28"/>
        <w:rPr>
          <w:sz w:val="20"/>
          <w:szCs w:val="20"/>
          <w:u w:val="single"/>
          <w:lang w:val="es-ES"/>
        </w:rPr>
      </w:pPr>
      <w:r w:rsidRPr="00823700">
        <w:rPr>
          <w:sz w:val="20"/>
          <w:szCs w:val="20"/>
          <w:u w:val="single"/>
          <w:lang w:val="es-ES"/>
        </w:rPr>
        <w:t>Activos financieros registrados a valor razonable con cambios en resultados:</w:t>
      </w:r>
    </w:p>
    <w:p w:rsidR="00944900" w:rsidRPr="00823700" w:rsidRDefault="00944900" w:rsidP="00944900">
      <w:pPr>
        <w:pStyle w:val="Textoindependiente"/>
        <w:spacing w:before="120" w:line="260" w:lineRule="exact"/>
        <w:ind w:right="28"/>
        <w:rPr>
          <w:sz w:val="20"/>
          <w:szCs w:val="20"/>
          <w:lang w:val="es-ES"/>
        </w:rPr>
      </w:pPr>
      <w:r w:rsidRPr="00823700">
        <w:rPr>
          <w:sz w:val="20"/>
          <w:szCs w:val="20"/>
          <w:lang w:val="es-ES"/>
        </w:rPr>
        <w:t>La Sociedad clasifica los activos y pasivos financieros a valor razonable con cambios en la cuenta de pérdidas y ganancias en el momento de su reconocimiento inicial sólo si:</w:t>
      </w:r>
    </w:p>
    <w:p w:rsidR="00944900" w:rsidRPr="00823700" w:rsidRDefault="00944900" w:rsidP="00944900">
      <w:pPr>
        <w:pStyle w:val="Textoindependiente"/>
        <w:numPr>
          <w:ilvl w:val="2"/>
          <w:numId w:val="5"/>
        </w:numPr>
        <w:tabs>
          <w:tab w:val="clear" w:pos="1282"/>
        </w:tabs>
        <w:spacing w:before="120" w:line="260" w:lineRule="exact"/>
        <w:ind w:left="709" w:right="28"/>
        <w:rPr>
          <w:sz w:val="20"/>
          <w:szCs w:val="20"/>
          <w:lang w:val="es-ES"/>
        </w:rPr>
      </w:pPr>
      <w:r w:rsidRPr="00823700">
        <w:rPr>
          <w:sz w:val="20"/>
          <w:szCs w:val="20"/>
          <w:lang w:val="es-ES"/>
        </w:rPr>
        <w:t>con ello se elimina o reduce significativamente la no correlación contable entre activos y pasivos financieros o</w:t>
      </w:r>
    </w:p>
    <w:p w:rsidR="00944900" w:rsidRPr="00823700" w:rsidRDefault="00944900" w:rsidP="00944900">
      <w:pPr>
        <w:pStyle w:val="Textoindependiente"/>
        <w:numPr>
          <w:ilvl w:val="2"/>
          <w:numId w:val="5"/>
        </w:numPr>
        <w:tabs>
          <w:tab w:val="clear" w:pos="1282"/>
        </w:tabs>
        <w:spacing w:before="120" w:line="260" w:lineRule="exact"/>
        <w:ind w:left="709" w:right="28"/>
        <w:rPr>
          <w:sz w:val="20"/>
          <w:szCs w:val="20"/>
          <w:lang w:val="es-ES"/>
        </w:rPr>
      </w:pPr>
      <w:r w:rsidRPr="00823700">
        <w:rPr>
          <w:sz w:val="20"/>
          <w:szCs w:val="20"/>
          <w:lang w:val="es-ES"/>
        </w:rPr>
        <w:t xml:space="preserve">el rendimiento de un grupo de activos financieros, pasivos financieros o de ambos, se gestiona y evalúa según el criterio de valor razonable, de acuerdo con la estrategia documentada de inversión o de gestión del riesgo de la Sociedad. </w:t>
      </w:r>
    </w:p>
    <w:p w:rsidR="00944900" w:rsidRPr="00823700" w:rsidRDefault="00944900" w:rsidP="00944900">
      <w:pPr>
        <w:pStyle w:val="Textoindependiente"/>
        <w:keepNext/>
        <w:keepLines/>
        <w:widowControl w:val="0"/>
        <w:spacing w:before="120" w:line="260" w:lineRule="exact"/>
        <w:ind w:right="28"/>
        <w:rPr>
          <w:sz w:val="20"/>
          <w:szCs w:val="20"/>
          <w:lang w:val="es-ES"/>
        </w:rPr>
      </w:pPr>
      <w:r w:rsidRPr="00823700">
        <w:rPr>
          <w:sz w:val="20"/>
          <w:szCs w:val="20"/>
          <w:lang w:val="es-ES"/>
        </w:rPr>
        <w:t>También se clasifican en esta categoría los activos y pasivos financieros con derivados implícitos, que son tratados como instrumentos financieros híbridos, bien porque han sido designados como tales por la Sociedad o debido a que no se puede valorar el componente del derivado con fiabilidad en la fecha adquisición o en una fecha posterior. Los activos y pasivos financieros a valor razonable con cambios en la cuenta de pérdidas y ganancias se valoran siguiendo los criterios establecidos para los activos y pasivos financieros mantenidos para negociar.</w:t>
      </w:r>
    </w:p>
    <w:p w:rsidR="00944900" w:rsidRPr="00823700" w:rsidRDefault="00944900" w:rsidP="00944900">
      <w:pPr>
        <w:pStyle w:val="Textoindependiente"/>
        <w:spacing w:before="120" w:line="260" w:lineRule="exact"/>
        <w:ind w:right="28"/>
        <w:rPr>
          <w:sz w:val="20"/>
          <w:szCs w:val="20"/>
          <w:lang w:val="es-ES"/>
        </w:rPr>
      </w:pPr>
      <w:r w:rsidRPr="00823700">
        <w:rPr>
          <w:sz w:val="20"/>
          <w:szCs w:val="20"/>
          <w:lang w:val="es-ES"/>
        </w:rPr>
        <w:t>La Sociedad no reclasifica ningún activo o pasivo financiero de o a esta categoría mientras esté reconocido en el balance de situación, salvo cuando proceda calificar el activo como inversión en empresas del grupo, asociadas o multigrupo.</w:t>
      </w:r>
    </w:p>
    <w:p w:rsidR="00944900" w:rsidRPr="00823700" w:rsidRDefault="00944900" w:rsidP="00944900">
      <w:pPr>
        <w:pStyle w:val="Textoindependiente"/>
        <w:spacing w:before="120" w:line="260" w:lineRule="exact"/>
        <w:ind w:right="28"/>
        <w:rPr>
          <w:sz w:val="20"/>
          <w:szCs w:val="20"/>
          <w:u w:val="single"/>
          <w:lang w:val="es-ES"/>
        </w:rPr>
      </w:pPr>
      <w:r w:rsidRPr="00823700">
        <w:rPr>
          <w:sz w:val="20"/>
          <w:szCs w:val="20"/>
          <w:u w:val="single"/>
          <w:lang w:val="es-ES"/>
        </w:rPr>
        <w:t xml:space="preserve">Las inversiones en empresas del grupo, asociadas y multigrupo: </w:t>
      </w:r>
    </w:p>
    <w:p w:rsidR="00944900" w:rsidRPr="00823700" w:rsidRDefault="00944900" w:rsidP="00944900">
      <w:pPr>
        <w:pStyle w:val="Textoindependiente"/>
        <w:spacing w:before="120" w:line="260" w:lineRule="exact"/>
        <w:ind w:right="28"/>
        <w:rPr>
          <w:sz w:val="20"/>
          <w:szCs w:val="20"/>
          <w:lang w:val="es-ES"/>
        </w:rPr>
      </w:pPr>
      <w:r w:rsidRPr="00823700">
        <w:rPr>
          <w:sz w:val="20"/>
          <w:szCs w:val="20"/>
          <w:lang w:val="es-ES"/>
        </w:rPr>
        <w:t>Inversiones disponibles para la venta: son el resto de inversiones que no entran dentro de las cuatro categorías anteriores, viniendo a corresponder casi a su totalidad a las inversiones financieras en capital, con una inversión inferior al 20%. Estas inversiones figuran en el balance de situación adjunto por su valor razonable cuando es posible determinarlo de forma fiable. En el caso de participaciones en sociedades no cotizadas, normalmente el valor de mercado no es posible determinarlo de manera fiable por lo que, cuando se da esta circunstancia, se valoran por su coste de adquisición o por un importe inferior si existe evidencia de su deterioro.</w:t>
      </w:r>
    </w:p>
    <w:p w:rsidR="00944900" w:rsidRPr="00823700" w:rsidRDefault="00944900" w:rsidP="00944900">
      <w:pPr>
        <w:spacing w:before="120" w:after="120" w:line="260" w:lineRule="exact"/>
        <w:ind w:right="28"/>
        <w:jc w:val="both"/>
        <w:rPr>
          <w:rFonts w:ascii="Arial" w:hAnsi="Arial" w:cs="Arial"/>
          <w:i/>
          <w:sz w:val="20"/>
          <w:szCs w:val="20"/>
          <w:u w:val="single"/>
        </w:rPr>
      </w:pPr>
      <w:r w:rsidRPr="00823700">
        <w:rPr>
          <w:rFonts w:ascii="Arial" w:hAnsi="Arial" w:cs="Arial"/>
          <w:i/>
          <w:sz w:val="20"/>
          <w:szCs w:val="20"/>
          <w:u w:val="single"/>
        </w:rPr>
        <w:t>Intereses y dividendos recibidos de activos financieros-</w:t>
      </w:r>
    </w:p>
    <w:p w:rsidR="00944900" w:rsidRPr="00823700" w:rsidRDefault="00944900" w:rsidP="00944900">
      <w:pPr>
        <w:pStyle w:val="Textoindependiente"/>
        <w:spacing w:before="120" w:line="260" w:lineRule="exact"/>
        <w:ind w:right="28"/>
        <w:rPr>
          <w:sz w:val="20"/>
          <w:szCs w:val="20"/>
          <w:lang w:val="es-ES"/>
        </w:rPr>
      </w:pPr>
      <w:r w:rsidRPr="00823700">
        <w:rPr>
          <w:sz w:val="20"/>
          <w:szCs w:val="20"/>
          <w:lang w:val="es-ES"/>
        </w:rPr>
        <w:t xml:space="preserve">Los intereses y dividendos de activos financieros devengados con posterioridad al momento de la adquisición se reconocen como ingresos en la cuenta de pérdidas y ganancias. Los intereses se reconocen por el método del tipo de interés efectivo y los ingresos por dividendos procedentes de inversiones en instrumentos de patrimonio se reconocen cuando han surgido los derechos para la Sociedad a su percepción. </w:t>
      </w:r>
    </w:p>
    <w:p w:rsidR="00944900" w:rsidRPr="00823700" w:rsidRDefault="00944900" w:rsidP="00944900">
      <w:pPr>
        <w:pStyle w:val="Textoindependiente"/>
        <w:spacing w:before="120" w:line="260" w:lineRule="exact"/>
        <w:ind w:right="28"/>
        <w:rPr>
          <w:sz w:val="20"/>
          <w:szCs w:val="20"/>
          <w:lang w:val="es-ES"/>
        </w:rPr>
      </w:pPr>
      <w:r w:rsidRPr="00823700">
        <w:rPr>
          <w:sz w:val="20"/>
          <w:szCs w:val="20"/>
          <w:lang w:val="es-ES"/>
        </w:rPr>
        <w:t>En la valoración inicial de los activos financieros se registran de forma independiente, atendiendo a su vencimiento, el importe de los intereses explícitos devengados y no vencidos en dicho momento, así como el importe de los dividendos acordados por el órgano competente en el momento de la adquisición.</w:t>
      </w:r>
    </w:p>
    <w:p w:rsidR="00944900" w:rsidRPr="00823700" w:rsidRDefault="00944900" w:rsidP="00944900">
      <w:pPr>
        <w:widowControl w:val="0"/>
        <w:spacing w:before="120" w:after="120" w:line="260" w:lineRule="exact"/>
        <w:ind w:right="28"/>
        <w:jc w:val="both"/>
        <w:rPr>
          <w:rFonts w:ascii="Arial" w:hAnsi="Arial" w:cs="Arial"/>
          <w:i/>
          <w:sz w:val="20"/>
          <w:szCs w:val="20"/>
          <w:u w:val="single"/>
        </w:rPr>
      </w:pPr>
      <w:r w:rsidRPr="00823700">
        <w:rPr>
          <w:rFonts w:ascii="Arial" w:hAnsi="Arial" w:cs="Arial"/>
          <w:i/>
          <w:sz w:val="20"/>
          <w:szCs w:val="20"/>
          <w:u w:val="single"/>
        </w:rPr>
        <w:t>Baja de activos financieros</w:t>
      </w:r>
    </w:p>
    <w:p w:rsidR="00944900" w:rsidRPr="00823700" w:rsidRDefault="00944900" w:rsidP="00944900">
      <w:pPr>
        <w:pStyle w:val="Textoindependiente"/>
        <w:widowControl w:val="0"/>
        <w:spacing w:before="120" w:line="260" w:lineRule="exact"/>
        <w:ind w:right="28"/>
        <w:rPr>
          <w:sz w:val="20"/>
          <w:szCs w:val="20"/>
          <w:lang w:val="es-ES"/>
        </w:rPr>
      </w:pPr>
      <w:r w:rsidRPr="00823700">
        <w:rPr>
          <w:sz w:val="20"/>
          <w:szCs w:val="20"/>
          <w:lang w:val="es-ES"/>
        </w:rPr>
        <w:t>La Sociedad da de baja los activos financieros cuando expiran o se han cedido los derechos sobre los flujos de efectivo del correspondiente activo financiero y se han transferido sustancialmente los riesgos y beneficios inherentes a su propiedad. En el caso concreto de cuentas a cobrar se entiende que este hecho se produce en general si se han transmitido los riesgos de insolvencia y mora.</w:t>
      </w:r>
    </w:p>
    <w:p w:rsidR="00944900" w:rsidRPr="00823700" w:rsidRDefault="00944900" w:rsidP="00944900">
      <w:pPr>
        <w:pStyle w:val="Textoindependiente"/>
        <w:spacing w:before="120" w:line="260" w:lineRule="exact"/>
        <w:ind w:right="28"/>
        <w:rPr>
          <w:sz w:val="20"/>
          <w:szCs w:val="20"/>
          <w:lang w:val="es-ES"/>
        </w:rPr>
      </w:pPr>
      <w:r w:rsidRPr="00823700">
        <w:rPr>
          <w:sz w:val="20"/>
          <w:szCs w:val="20"/>
          <w:lang w:val="es-ES"/>
        </w:rPr>
        <w:t>Cuando el activo financiero se da de baja, la diferencia entre la contraprestación recibida neta de los costes de transacción atribuibles y el valor en libros del activo, más cualquier importe acumulado que se haya reconocido directamente en el patrimonio neto, determina la ganancia o pérdida surgida al dar de baja dicho activo, que forma parte del resultado del ejercicio en que ésta se produce.</w:t>
      </w:r>
    </w:p>
    <w:p w:rsidR="00944900" w:rsidRPr="00823700" w:rsidRDefault="00944900" w:rsidP="00944900">
      <w:pPr>
        <w:pStyle w:val="Textoindependiente"/>
        <w:spacing w:before="120" w:line="260" w:lineRule="exact"/>
        <w:ind w:right="28"/>
        <w:rPr>
          <w:sz w:val="20"/>
          <w:szCs w:val="20"/>
          <w:lang w:val="es-ES"/>
        </w:rPr>
      </w:pPr>
      <w:r w:rsidRPr="00823700">
        <w:rPr>
          <w:sz w:val="20"/>
          <w:szCs w:val="20"/>
          <w:lang w:val="es-ES"/>
        </w:rPr>
        <w:t>Por el contrario, la Sociedad no da de baja los activos financieros, y reconoce un pasivo financiero por un importe igual a la contraprestación recibida, en las cesiones de activos financieros en las que se retenga sustancialmente los riesgos y beneficios inherentes a su propiedad.</w:t>
      </w:r>
    </w:p>
    <w:p w:rsidR="00944900" w:rsidRPr="00823700" w:rsidRDefault="00944900" w:rsidP="00944900">
      <w:pPr>
        <w:pStyle w:val="Textoindependiente"/>
        <w:keepNext/>
        <w:keepLines/>
        <w:spacing w:before="120" w:line="260" w:lineRule="exact"/>
        <w:ind w:right="28"/>
        <w:rPr>
          <w:sz w:val="20"/>
          <w:szCs w:val="20"/>
          <w:u w:val="single"/>
          <w:lang w:val="es-ES"/>
        </w:rPr>
      </w:pPr>
      <w:r w:rsidRPr="00823700">
        <w:rPr>
          <w:sz w:val="20"/>
          <w:szCs w:val="20"/>
          <w:u w:val="single"/>
          <w:lang w:val="es-ES"/>
        </w:rPr>
        <w:t>3.</w:t>
      </w:r>
      <w:r>
        <w:rPr>
          <w:sz w:val="20"/>
          <w:szCs w:val="20"/>
          <w:u w:val="single"/>
          <w:lang w:val="es-ES"/>
        </w:rPr>
        <w:t>3</w:t>
      </w:r>
      <w:r w:rsidRPr="00823700">
        <w:rPr>
          <w:sz w:val="20"/>
          <w:szCs w:val="20"/>
          <w:u w:val="single"/>
          <w:lang w:val="es-ES"/>
        </w:rPr>
        <w:t>.2. Pasivos financieros</w:t>
      </w:r>
    </w:p>
    <w:p w:rsidR="00944900" w:rsidRPr="00823700" w:rsidRDefault="00944900" w:rsidP="00944900">
      <w:pPr>
        <w:pStyle w:val="Textoindependiente"/>
        <w:keepNext/>
        <w:keepLines/>
        <w:spacing w:before="120" w:line="260" w:lineRule="exact"/>
        <w:ind w:right="28"/>
        <w:rPr>
          <w:sz w:val="20"/>
          <w:szCs w:val="20"/>
          <w:lang w:val="es-ES"/>
        </w:rPr>
      </w:pPr>
      <w:r w:rsidRPr="00823700">
        <w:rPr>
          <w:sz w:val="20"/>
          <w:szCs w:val="20"/>
          <w:lang w:val="es-ES"/>
        </w:rPr>
        <w:t>Los préstamos, obligaciones y similares se registran inicialmente por el importe recibido, neto de costes incurridos en la transacción. Los gastos financieros, incluidas las primas pagaderas en la liquidación o el reembolso y los costes de transacción, se contabilizan en la cuenta de pérdidas y ganancias según el criterio del devengo utilizando el método del interés efectivo. El importe devengado y no liquidado se añade al importe en libros del instrumento en la medida en que no se liquidan en el período en que se producen.</w:t>
      </w:r>
    </w:p>
    <w:p w:rsidR="00944900" w:rsidRPr="00823700" w:rsidRDefault="00944900" w:rsidP="00944900">
      <w:pPr>
        <w:pStyle w:val="Textoindependiente"/>
        <w:widowControl w:val="0"/>
        <w:spacing w:before="120" w:line="260" w:lineRule="exact"/>
        <w:ind w:right="28"/>
        <w:rPr>
          <w:sz w:val="20"/>
          <w:szCs w:val="20"/>
          <w:lang w:val="es-ES"/>
        </w:rPr>
      </w:pPr>
      <w:r w:rsidRPr="00823700">
        <w:rPr>
          <w:sz w:val="20"/>
          <w:szCs w:val="20"/>
          <w:lang w:val="es-ES"/>
        </w:rPr>
        <w:t xml:space="preserve">Las cuentas a pagar se registran inicialmente a su coste de mercado y posteriormente son valoradas al coste amortizado utilizando el método de la tasa de interés efectivo. </w:t>
      </w:r>
    </w:p>
    <w:p w:rsidR="00944900" w:rsidRPr="00823700" w:rsidRDefault="00944900" w:rsidP="00944900">
      <w:pPr>
        <w:spacing w:before="120" w:after="120" w:line="260" w:lineRule="exact"/>
        <w:ind w:right="28"/>
        <w:jc w:val="both"/>
        <w:rPr>
          <w:rFonts w:ascii="Arial" w:hAnsi="Arial" w:cs="Arial"/>
          <w:i/>
          <w:sz w:val="20"/>
          <w:szCs w:val="20"/>
          <w:u w:val="single"/>
        </w:rPr>
      </w:pPr>
      <w:r w:rsidRPr="00823700">
        <w:rPr>
          <w:rFonts w:ascii="Arial" w:hAnsi="Arial" w:cs="Arial"/>
          <w:i/>
          <w:sz w:val="20"/>
          <w:szCs w:val="20"/>
          <w:u w:val="single"/>
        </w:rPr>
        <w:t>Fianzas entregadas</w:t>
      </w:r>
    </w:p>
    <w:p w:rsidR="00944900" w:rsidRPr="00823700" w:rsidRDefault="00944900" w:rsidP="00944900">
      <w:pPr>
        <w:pStyle w:val="Textoindependiente"/>
        <w:spacing w:before="120" w:line="260" w:lineRule="exact"/>
        <w:ind w:right="28"/>
        <w:rPr>
          <w:sz w:val="20"/>
          <w:szCs w:val="20"/>
          <w:lang w:val="es-ES"/>
        </w:rPr>
      </w:pPr>
      <w:r w:rsidRPr="00823700">
        <w:rPr>
          <w:sz w:val="20"/>
          <w:szCs w:val="20"/>
          <w:lang w:val="es-ES"/>
        </w:rPr>
        <w:t>Los depósitos o fianzas constituidas en garantía de determinadas obligaciones, se valoran por el importe efectivamente satisfecho, que no difiere significativamente de su valor razonable.</w:t>
      </w:r>
    </w:p>
    <w:p w:rsidR="00944900" w:rsidRPr="00823700" w:rsidRDefault="00944900" w:rsidP="00944900">
      <w:pPr>
        <w:spacing w:before="120" w:after="120" w:line="260" w:lineRule="exact"/>
        <w:ind w:right="28"/>
        <w:jc w:val="both"/>
        <w:rPr>
          <w:rFonts w:ascii="Arial" w:hAnsi="Arial" w:cs="Arial"/>
          <w:i/>
          <w:sz w:val="20"/>
          <w:szCs w:val="20"/>
          <w:u w:val="single"/>
        </w:rPr>
      </w:pPr>
      <w:r w:rsidRPr="00823700">
        <w:rPr>
          <w:rFonts w:ascii="Arial" w:hAnsi="Arial" w:cs="Arial"/>
          <w:i/>
          <w:sz w:val="20"/>
          <w:szCs w:val="20"/>
          <w:u w:val="single"/>
        </w:rPr>
        <w:t>Valor razonable</w:t>
      </w:r>
    </w:p>
    <w:p w:rsidR="00944900" w:rsidRPr="00823700" w:rsidRDefault="00944900" w:rsidP="00944900">
      <w:pPr>
        <w:pStyle w:val="Textoindependiente"/>
        <w:spacing w:before="120" w:line="260" w:lineRule="exact"/>
        <w:ind w:right="28"/>
        <w:rPr>
          <w:sz w:val="20"/>
          <w:szCs w:val="20"/>
          <w:lang w:val="es-ES"/>
        </w:rPr>
      </w:pPr>
      <w:r w:rsidRPr="00823700">
        <w:rPr>
          <w:sz w:val="20"/>
          <w:szCs w:val="20"/>
          <w:lang w:val="es-ES"/>
        </w:rPr>
        <w:t>El valor razonable es el importe por el que puede ser intercambiado un activo o liquidado un pasivo, entre partes interesadas y debidamente informadas, que realicen una transacción en condiciones de independencia mutua.</w:t>
      </w:r>
    </w:p>
    <w:p w:rsidR="00944900" w:rsidRPr="00823700" w:rsidRDefault="00944900" w:rsidP="00944900">
      <w:pPr>
        <w:pStyle w:val="Textoindependiente"/>
        <w:spacing w:before="120" w:line="260" w:lineRule="exact"/>
        <w:ind w:right="28"/>
        <w:rPr>
          <w:sz w:val="20"/>
          <w:szCs w:val="20"/>
          <w:lang w:val="es-ES"/>
        </w:rPr>
      </w:pPr>
      <w:r w:rsidRPr="00823700">
        <w:rPr>
          <w:sz w:val="20"/>
          <w:szCs w:val="20"/>
          <w:lang w:val="es-ES"/>
        </w:rPr>
        <w:t>Con carácter general, en la valoración de instrumentos financieros valorados a valor razonable, la Sociedad calcula éste por referencia a un valor fiable de mercado, constituyendo el precio cotizado en un mercado activo la mejor referencia de dicho valor razonable. Para aquellos instrumentos respecto de los cuales no exista un mercado activo, el valor razonable se obtiene, en su caso, mediante la aplicación de modelos y técnicas de valoración.</w:t>
      </w:r>
    </w:p>
    <w:p w:rsidR="00944900" w:rsidRPr="00823700" w:rsidRDefault="00944900" w:rsidP="00944900">
      <w:pPr>
        <w:pStyle w:val="Textoindependiente"/>
        <w:spacing w:before="120" w:line="260" w:lineRule="exact"/>
        <w:ind w:right="28"/>
        <w:rPr>
          <w:sz w:val="20"/>
          <w:szCs w:val="20"/>
          <w:lang w:val="es-ES"/>
        </w:rPr>
      </w:pPr>
      <w:r w:rsidRPr="00823700">
        <w:rPr>
          <w:sz w:val="20"/>
          <w:szCs w:val="20"/>
          <w:lang w:val="es-ES"/>
        </w:rPr>
        <w:t>Se asume que el valor en libros de los créditos y débitos por operaciones comerciales se aproxima a su valor razonable.</w:t>
      </w:r>
    </w:p>
    <w:p w:rsidR="00944900" w:rsidRPr="00823700" w:rsidRDefault="00944900" w:rsidP="00944900">
      <w:pPr>
        <w:pStyle w:val="Textoindependiente"/>
        <w:spacing w:before="120" w:line="260" w:lineRule="exact"/>
        <w:ind w:right="28"/>
        <w:rPr>
          <w:sz w:val="20"/>
          <w:szCs w:val="20"/>
          <w:u w:val="single"/>
          <w:lang w:val="es-ES"/>
        </w:rPr>
      </w:pPr>
      <w:r w:rsidRPr="00823700">
        <w:rPr>
          <w:sz w:val="20"/>
          <w:szCs w:val="20"/>
          <w:u w:val="single"/>
          <w:lang w:val="es-ES"/>
        </w:rPr>
        <w:t>3.</w:t>
      </w:r>
      <w:r>
        <w:rPr>
          <w:sz w:val="20"/>
          <w:szCs w:val="20"/>
          <w:u w:val="single"/>
          <w:lang w:val="es-ES"/>
        </w:rPr>
        <w:t>3</w:t>
      </w:r>
      <w:r w:rsidRPr="00823700">
        <w:rPr>
          <w:sz w:val="20"/>
          <w:szCs w:val="20"/>
          <w:u w:val="single"/>
          <w:lang w:val="es-ES"/>
        </w:rPr>
        <w:t>.3. Inversiones en empresas del grupo, multigrupo y asociadas</w:t>
      </w:r>
    </w:p>
    <w:p w:rsidR="00944900" w:rsidRPr="00823700" w:rsidRDefault="00944900" w:rsidP="00944900">
      <w:pPr>
        <w:pStyle w:val="Textoindependiente"/>
        <w:spacing w:before="120" w:line="260" w:lineRule="exact"/>
        <w:ind w:right="28"/>
        <w:rPr>
          <w:sz w:val="20"/>
          <w:szCs w:val="20"/>
          <w:lang w:val="es-ES"/>
        </w:rPr>
      </w:pPr>
      <w:r w:rsidRPr="00823700">
        <w:rPr>
          <w:sz w:val="20"/>
          <w:szCs w:val="20"/>
          <w:lang w:val="es-ES"/>
        </w:rPr>
        <w:t>Las inversiones en empresas del grupo, multigrupo y asociadas, se valoran inicialmente por su coste, que equivale al valor razonable de la contraprestación entregada más los costes de transacción.</w:t>
      </w:r>
    </w:p>
    <w:p w:rsidR="00944900" w:rsidRPr="00823700" w:rsidRDefault="00944900" w:rsidP="00944900">
      <w:pPr>
        <w:pStyle w:val="Textoindependiente"/>
        <w:spacing w:before="120" w:line="260" w:lineRule="exact"/>
        <w:ind w:right="28"/>
        <w:rPr>
          <w:sz w:val="20"/>
          <w:szCs w:val="20"/>
          <w:lang w:val="es-ES"/>
        </w:rPr>
      </w:pPr>
      <w:r w:rsidRPr="00823700">
        <w:rPr>
          <w:sz w:val="20"/>
          <w:szCs w:val="20"/>
          <w:lang w:val="es-ES"/>
        </w:rPr>
        <w:t>Al menos al cierre del ejercicio, la Sociedad procede a evaluar si ha existido deterioro de valor de las inversiones. Las correcciones valorativas por deterioro y en su caso la reversión, se llevan como gasto o ingreso, respectivamente, en la cuenta de pérdidas y ganancias.</w:t>
      </w:r>
    </w:p>
    <w:p w:rsidR="00944900" w:rsidRPr="00823700" w:rsidRDefault="00944900" w:rsidP="00944900">
      <w:pPr>
        <w:pStyle w:val="Textoindependiente"/>
        <w:spacing w:before="120" w:line="260" w:lineRule="exact"/>
        <w:ind w:right="28"/>
        <w:rPr>
          <w:sz w:val="20"/>
          <w:szCs w:val="20"/>
          <w:lang w:val="es-ES"/>
        </w:rPr>
      </w:pPr>
      <w:r w:rsidRPr="00823700">
        <w:rPr>
          <w:sz w:val="20"/>
          <w:szCs w:val="20"/>
          <w:lang w:val="es-ES"/>
        </w:rPr>
        <w:t>La corrección por deterioro se aplicará siempre que exista evidencia objetiva de que el valor en libros de una inversión no será recuperable. Se entiende por valor recuperable, el mayor importe entre su valor razonable menos los costes de venta y el valor actual de los flujos de efectivo futuros derivados de la inversión, calculados bien mediante la estimación de los que se espera recibir como consecuencia del reparto de dividendos realizados por la empresa participada y de la enajenación o baja en cuentas de la inversión misma, bien mediante la estimación de su participación en los flujos de efectivo que se espera que sean generados por la empresa participada. Salvo mejor evidencia del importe recuperable, se tomará en consideración el patrimonio neto de la Entidad participada corregido por las plusvalías tácitas existentes en la fecha de la valoración.</w:t>
      </w:r>
    </w:p>
    <w:p w:rsidR="00944900" w:rsidRPr="00823700" w:rsidRDefault="00944900" w:rsidP="00944900">
      <w:pPr>
        <w:pStyle w:val="Textoindependiente"/>
        <w:spacing w:before="120" w:line="260" w:lineRule="exact"/>
        <w:ind w:right="28"/>
        <w:rPr>
          <w:sz w:val="20"/>
          <w:szCs w:val="20"/>
          <w:lang w:val="es-ES"/>
        </w:rPr>
      </w:pPr>
      <w:r w:rsidRPr="00823700">
        <w:rPr>
          <w:sz w:val="20"/>
          <w:szCs w:val="20"/>
          <w:lang w:val="es-ES"/>
        </w:rPr>
        <w:t>Los pasivos financieros y los instrumentos de patrimonio se clasifican conforme al contenido de los acuerdos contractuales pactados y teniendo en cuenta el fondo económico. Un instrumento de patrimonio es un contrato que representa una participación residual en el patrimonio del grupo una vez deducidos todos sus pasivos.</w:t>
      </w:r>
    </w:p>
    <w:p w:rsidR="00944900" w:rsidRPr="00AE1CD4" w:rsidRDefault="00944900" w:rsidP="00944900">
      <w:pPr>
        <w:pStyle w:val="Ttulo2"/>
        <w:keepLines/>
        <w:autoSpaceDE w:val="0"/>
        <w:autoSpaceDN w:val="0"/>
        <w:adjustRightInd w:val="0"/>
        <w:spacing w:before="120" w:after="120" w:line="260" w:lineRule="exact"/>
        <w:ind w:right="28"/>
        <w:jc w:val="both"/>
        <w:rPr>
          <w:rFonts w:ascii="Arial" w:hAnsi="Arial" w:cs="Arial"/>
          <w:b w:val="0"/>
          <w:bCs/>
          <w:iCs/>
          <w:u w:val="single"/>
        </w:rPr>
      </w:pPr>
      <w:bookmarkStart w:id="0" w:name="_Toc474495499"/>
      <w:r w:rsidRPr="00AE1CD4">
        <w:rPr>
          <w:rFonts w:ascii="Arial" w:hAnsi="Arial" w:cs="Arial"/>
          <w:b w:val="0"/>
          <w:bCs/>
          <w:iCs/>
          <w:u w:val="single"/>
        </w:rPr>
        <w:t>3.</w:t>
      </w:r>
      <w:r>
        <w:rPr>
          <w:rFonts w:ascii="Arial" w:hAnsi="Arial" w:cs="Arial"/>
          <w:b w:val="0"/>
          <w:bCs/>
          <w:iCs/>
          <w:u w:val="single"/>
        </w:rPr>
        <w:t>4</w:t>
      </w:r>
      <w:r w:rsidRPr="00AE1CD4">
        <w:rPr>
          <w:rFonts w:ascii="Arial" w:hAnsi="Arial" w:cs="Arial"/>
          <w:b w:val="0"/>
          <w:bCs/>
          <w:iCs/>
          <w:u w:val="single"/>
        </w:rPr>
        <w:t>. Existencias.</w:t>
      </w:r>
      <w:bookmarkEnd w:id="0"/>
    </w:p>
    <w:p w:rsidR="00944900" w:rsidRPr="00823700" w:rsidRDefault="00944900" w:rsidP="00944900">
      <w:pPr>
        <w:pStyle w:val="Textoindependiente"/>
        <w:keepNext/>
        <w:keepLines/>
        <w:spacing w:before="120" w:line="260" w:lineRule="exact"/>
        <w:ind w:right="28"/>
        <w:rPr>
          <w:sz w:val="20"/>
          <w:szCs w:val="20"/>
          <w:lang w:val="es-ES"/>
        </w:rPr>
      </w:pPr>
      <w:r w:rsidRPr="00823700">
        <w:rPr>
          <w:sz w:val="20"/>
          <w:szCs w:val="20"/>
          <w:lang w:val="es-ES"/>
        </w:rPr>
        <w:t xml:space="preserve">Se valoran al precio de adquisición o coste de producción. El precio de adquisición es el importe facturado por el proveedor, deducidos los descuentos y los intereses incorporados al nominal de los débitos más los gastos adicionales para que las existencias se encuentren ubicados para su venta: transportes, aranceles, seguros y otros atribuibles a la adquisición. En cuanto al coste de producción, las existencias se valoran añadiendo al coste de adquisición de las materias primas y otras materias consumibles, los costes directamente imputables al producto y la parte que razonablemente corresponde los costes indirectamente imputables a los productos. </w:t>
      </w:r>
    </w:p>
    <w:p w:rsidR="00944900" w:rsidRPr="00823700" w:rsidRDefault="00944900" w:rsidP="00944900">
      <w:pPr>
        <w:pStyle w:val="Textoindependiente"/>
        <w:spacing w:before="120" w:line="260" w:lineRule="exact"/>
        <w:ind w:right="28"/>
        <w:rPr>
          <w:sz w:val="20"/>
          <w:szCs w:val="20"/>
          <w:lang w:val="es-ES"/>
        </w:rPr>
      </w:pPr>
      <w:r w:rsidRPr="00823700">
        <w:rPr>
          <w:sz w:val="20"/>
          <w:szCs w:val="20"/>
          <w:lang w:val="es-ES"/>
        </w:rPr>
        <w:t xml:space="preserve">Cuando el valor neto realizable de las existencias es inferior a su precio de adquisición o a su coste de producción, se efectúan las oportunas correcciones valorativas reconociéndolas como un gasto en la cuenta de pérdidas y ganancias. </w:t>
      </w:r>
    </w:p>
    <w:p w:rsidR="00944900" w:rsidRPr="00823700" w:rsidRDefault="00944900" w:rsidP="00944900">
      <w:pPr>
        <w:pStyle w:val="Textoindependiente"/>
        <w:spacing w:before="120" w:line="260" w:lineRule="exact"/>
        <w:ind w:right="28"/>
        <w:rPr>
          <w:sz w:val="20"/>
          <w:szCs w:val="20"/>
          <w:lang w:val="es-ES"/>
        </w:rPr>
      </w:pPr>
      <w:r w:rsidRPr="00823700">
        <w:rPr>
          <w:sz w:val="20"/>
          <w:szCs w:val="20"/>
          <w:lang w:val="es-ES"/>
        </w:rPr>
        <w:t>Si dejan de existir las circunstancias que causaron la corrección del valor de las existencias, el importe de la corrección es objeto de reversión reconociéndolo como un ingreso en la cuenta de pérdidas y ganancias.</w:t>
      </w:r>
    </w:p>
    <w:p w:rsidR="00944900" w:rsidRPr="00AE1CD4" w:rsidRDefault="00944900" w:rsidP="00944900">
      <w:pPr>
        <w:pStyle w:val="Ttulo2"/>
        <w:keepNext w:val="0"/>
        <w:spacing w:before="120" w:after="120" w:line="260" w:lineRule="exact"/>
        <w:ind w:right="28"/>
        <w:jc w:val="both"/>
        <w:rPr>
          <w:rFonts w:ascii="Arial" w:hAnsi="Arial" w:cs="Arial"/>
          <w:b w:val="0"/>
          <w:bCs/>
          <w:iCs/>
          <w:u w:val="single"/>
        </w:rPr>
      </w:pPr>
      <w:bookmarkStart w:id="1" w:name="_Toc377380179"/>
      <w:bookmarkStart w:id="2" w:name="_Toc474495500"/>
      <w:r w:rsidRPr="00AE1CD4">
        <w:rPr>
          <w:rFonts w:ascii="Arial" w:hAnsi="Arial" w:cs="Arial"/>
          <w:b w:val="0"/>
          <w:bCs/>
          <w:iCs/>
          <w:u w:val="single"/>
        </w:rPr>
        <w:t>3.</w:t>
      </w:r>
      <w:r>
        <w:rPr>
          <w:rFonts w:ascii="Arial" w:hAnsi="Arial" w:cs="Arial"/>
          <w:b w:val="0"/>
          <w:bCs/>
          <w:iCs/>
          <w:u w:val="single"/>
        </w:rPr>
        <w:t>5</w:t>
      </w:r>
      <w:r w:rsidRPr="00AE1CD4">
        <w:rPr>
          <w:rFonts w:ascii="Arial" w:hAnsi="Arial" w:cs="Arial"/>
          <w:b w:val="0"/>
          <w:bCs/>
          <w:iCs/>
          <w:u w:val="single"/>
        </w:rPr>
        <w:t>. Transacciones en moneda extranjera.</w:t>
      </w:r>
      <w:bookmarkEnd w:id="1"/>
      <w:bookmarkEnd w:id="2"/>
    </w:p>
    <w:p w:rsidR="00944900" w:rsidRPr="00823700" w:rsidRDefault="00944900" w:rsidP="00944900">
      <w:pPr>
        <w:pStyle w:val="Textoindependiente"/>
        <w:spacing w:before="120" w:line="260" w:lineRule="exact"/>
        <w:ind w:right="28"/>
        <w:rPr>
          <w:sz w:val="20"/>
          <w:szCs w:val="20"/>
          <w:lang w:val="es-ES"/>
        </w:rPr>
      </w:pPr>
      <w:r w:rsidRPr="00823700">
        <w:rPr>
          <w:sz w:val="20"/>
          <w:szCs w:val="20"/>
          <w:lang w:val="es-ES"/>
        </w:rPr>
        <w:t>En el ejercicio 20</w:t>
      </w:r>
      <w:r>
        <w:rPr>
          <w:sz w:val="20"/>
          <w:szCs w:val="20"/>
          <w:lang w:val="es-ES"/>
        </w:rPr>
        <w:t>20</w:t>
      </w:r>
      <w:r w:rsidRPr="00823700">
        <w:rPr>
          <w:sz w:val="20"/>
          <w:szCs w:val="20"/>
          <w:lang w:val="es-ES"/>
        </w:rPr>
        <w:t xml:space="preserve"> no hay operaciones en moneda extranjera. De haberlas en el futuro, se aplicarán las siguientes normas: </w:t>
      </w:r>
    </w:p>
    <w:p w:rsidR="00944900" w:rsidRPr="00823700" w:rsidRDefault="00944900" w:rsidP="00944900">
      <w:pPr>
        <w:pStyle w:val="Textoindependiente"/>
        <w:spacing w:before="120" w:line="260" w:lineRule="exact"/>
        <w:ind w:right="28"/>
        <w:rPr>
          <w:sz w:val="20"/>
          <w:szCs w:val="20"/>
          <w:lang w:val="es-ES"/>
        </w:rPr>
      </w:pPr>
      <w:r w:rsidRPr="00823700">
        <w:rPr>
          <w:sz w:val="20"/>
          <w:szCs w:val="20"/>
          <w:lang w:val="es-ES"/>
        </w:rPr>
        <w:t xml:space="preserve">Las operaciones en moneda extranjera se registran en la moneda funcional de la Sociedad (euros) a los tipos de cambio vigentes en el momento de la transacción. Durante el ejercicio, las diferencias que se producen entre el tipo de cambio contabilizado y el que se encuentra en vigor a la fecha de cobro o de pago se registran como resultados financieros en la cuenta de resultados. La sociedad no ha cambiado en el ejercicio la moneda funcional que es el euro (o la moneda de que se trate). </w:t>
      </w:r>
    </w:p>
    <w:p w:rsidR="00944900" w:rsidRPr="00823700" w:rsidRDefault="00944900" w:rsidP="00944900">
      <w:pPr>
        <w:pStyle w:val="Textoindependiente"/>
        <w:spacing w:before="120" w:line="260" w:lineRule="exact"/>
        <w:ind w:right="28"/>
        <w:rPr>
          <w:sz w:val="20"/>
          <w:szCs w:val="20"/>
          <w:lang w:val="es-ES"/>
        </w:rPr>
      </w:pPr>
      <w:r w:rsidRPr="00823700">
        <w:rPr>
          <w:sz w:val="20"/>
          <w:szCs w:val="20"/>
          <w:lang w:val="es-ES"/>
        </w:rPr>
        <w:t xml:space="preserve">Asimismo, al 31 de diciembre de cada año, se realiza al tipo de cambio de cierre la conversión de los saldos a cobrar o pagar con origen en moneda extranjera. Las diferencias de valoración producidas se registran como resultados financieros en la cuenta de resultados. </w:t>
      </w:r>
    </w:p>
    <w:p w:rsidR="00944900" w:rsidRPr="00AE1CD4" w:rsidRDefault="00944900" w:rsidP="00944900">
      <w:pPr>
        <w:pStyle w:val="Ttulo2"/>
        <w:keepNext w:val="0"/>
        <w:spacing w:before="120" w:after="120" w:line="260" w:lineRule="exact"/>
        <w:ind w:right="28"/>
        <w:jc w:val="both"/>
        <w:rPr>
          <w:rFonts w:ascii="Arial" w:hAnsi="Arial" w:cs="Arial"/>
          <w:b w:val="0"/>
          <w:bCs/>
          <w:iCs/>
          <w:u w:val="single"/>
        </w:rPr>
      </w:pPr>
      <w:bookmarkStart w:id="3" w:name="_Toc377380180"/>
      <w:bookmarkStart w:id="4" w:name="_Toc474495501"/>
      <w:r w:rsidRPr="00AE1CD4">
        <w:rPr>
          <w:rFonts w:ascii="Arial" w:hAnsi="Arial" w:cs="Arial"/>
          <w:b w:val="0"/>
          <w:bCs/>
          <w:iCs/>
          <w:u w:val="single"/>
        </w:rPr>
        <w:t>3.</w:t>
      </w:r>
      <w:r>
        <w:rPr>
          <w:rFonts w:ascii="Arial" w:hAnsi="Arial" w:cs="Arial"/>
          <w:b w:val="0"/>
          <w:bCs/>
          <w:iCs/>
          <w:u w:val="single"/>
        </w:rPr>
        <w:t>6</w:t>
      </w:r>
      <w:r w:rsidRPr="00AE1CD4">
        <w:rPr>
          <w:rFonts w:ascii="Arial" w:hAnsi="Arial" w:cs="Arial"/>
          <w:b w:val="0"/>
          <w:bCs/>
          <w:iCs/>
          <w:u w:val="single"/>
        </w:rPr>
        <w:t>. Impuestos sobre beneficios</w:t>
      </w:r>
      <w:bookmarkEnd w:id="3"/>
      <w:bookmarkEnd w:id="4"/>
    </w:p>
    <w:p w:rsidR="00944900" w:rsidRPr="00823700" w:rsidRDefault="00944900" w:rsidP="00944900">
      <w:pPr>
        <w:spacing w:before="120" w:after="120" w:line="260" w:lineRule="exact"/>
        <w:jc w:val="both"/>
        <w:rPr>
          <w:rFonts w:ascii="Arial" w:hAnsi="Arial" w:cs="Arial"/>
          <w:noProof/>
          <w:color w:val="000000"/>
          <w:sz w:val="20"/>
          <w:szCs w:val="20"/>
        </w:rPr>
      </w:pPr>
      <w:r w:rsidRPr="00823700">
        <w:rPr>
          <w:rFonts w:ascii="Arial" w:hAnsi="Arial" w:cs="Arial"/>
          <w:noProof/>
          <w:color w:val="000000"/>
          <w:sz w:val="20"/>
          <w:szCs w:val="20"/>
        </w:rPr>
        <w:t>El gasto por impuesto corriente se determina mediante la suma del gasto por impuesto corriente y el impuesto diferido. El gasto por impuesto corriente de determina aplicando el tipo de gravamen vigente a la ganancia fiscal, y minorando el resultado así obtenido en el importe de las bonificaciones y deducciones generales y aplicadas en el ejercicio.</w:t>
      </w:r>
    </w:p>
    <w:p w:rsidR="00944900" w:rsidRPr="00823700" w:rsidRDefault="00944900" w:rsidP="00944900">
      <w:pPr>
        <w:spacing w:before="120" w:after="120" w:line="260" w:lineRule="exact"/>
        <w:jc w:val="both"/>
        <w:rPr>
          <w:rFonts w:ascii="Arial" w:hAnsi="Arial" w:cs="Arial"/>
          <w:noProof/>
          <w:color w:val="000000"/>
          <w:sz w:val="20"/>
          <w:szCs w:val="20"/>
        </w:rPr>
      </w:pPr>
      <w:r w:rsidRPr="00823700">
        <w:rPr>
          <w:rFonts w:ascii="Arial" w:hAnsi="Arial" w:cs="Arial"/>
          <w:noProof/>
          <w:color w:val="000000"/>
          <w:sz w:val="20"/>
          <w:szCs w:val="20"/>
        </w:rPr>
        <w:t>Los activos y pasivos por impuestos diferidos, proceden de las diferencias temporarias definidas como los importes que se prevén pagaderos o recuperables en el futuro y que derivan de la diferencia entre el valor en libros de los activos y pasivos y su base fiscal. Dichos importes se registran aplicando a la diferencia temporaria el tipo de gravamen al que se espera recuperarlos o liquidarlos.</w:t>
      </w:r>
    </w:p>
    <w:p w:rsidR="00944900" w:rsidRPr="00823700" w:rsidRDefault="00944900" w:rsidP="00944900">
      <w:pPr>
        <w:spacing w:before="120" w:after="120" w:line="260" w:lineRule="exact"/>
        <w:jc w:val="both"/>
        <w:rPr>
          <w:rFonts w:ascii="Arial" w:hAnsi="Arial" w:cs="Arial"/>
          <w:noProof/>
          <w:color w:val="000000"/>
          <w:sz w:val="20"/>
          <w:szCs w:val="20"/>
        </w:rPr>
      </w:pPr>
      <w:r w:rsidRPr="00823700">
        <w:rPr>
          <w:rFonts w:ascii="Arial" w:hAnsi="Arial" w:cs="Arial"/>
          <w:noProof/>
          <w:color w:val="000000"/>
          <w:sz w:val="20"/>
          <w:szCs w:val="20"/>
        </w:rPr>
        <w:t>Los activos por impuestos diferidos surgen, igualmente, como consecuencia de las bases imponibles negativas pendientes de compensar y de los créditos por deducciones fiscales generadas y no aplicadas.</w:t>
      </w:r>
    </w:p>
    <w:p w:rsidR="00944900" w:rsidRPr="00823700" w:rsidRDefault="00944900" w:rsidP="00944900">
      <w:pPr>
        <w:spacing w:before="120" w:after="120" w:line="260" w:lineRule="exact"/>
        <w:jc w:val="both"/>
        <w:rPr>
          <w:rFonts w:ascii="Arial" w:hAnsi="Arial" w:cs="Arial"/>
          <w:noProof/>
          <w:color w:val="000000"/>
          <w:sz w:val="20"/>
          <w:szCs w:val="20"/>
        </w:rPr>
      </w:pPr>
      <w:r w:rsidRPr="00823700">
        <w:rPr>
          <w:rFonts w:ascii="Arial" w:hAnsi="Arial" w:cs="Arial"/>
          <w:noProof/>
          <w:color w:val="000000"/>
          <w:sz w:val="20"/>
          <w:szCs w:val="20"/>
        </w:rPr>
        <w:t>Se reconoce el correspondiente pasivo por impuestos diferidos para todas las diferencias temporarias imponibles, salvo que la diferencia temporaria se derive del reconocimiento inicial de un fondo de comercio o del reconocimiento inicial en una transacción que no es una combinación de negocios de otros activos y pasivos en una operación que en el momento de su realización, no afecte ni al resultado fiscal ni contable.</w:t>
      </w:r>
    </w:p>
    <w:p w:rsidR="00944900" w:rsidRPr="00823700" w:rsidRDefault="00944900" w:rsidP="00944900">
      <w:pPr>
        <w:keepNext/>
        <w:keepLines/>
        <w:autoSpaceDE w:val="0"/>
        <w:autoSpaceDN w:val="0"/>
        <w:adjustRightInd w:val="0"/>
        <w:spacing w:before="120" w:after="120" w:line="260" w:lineRule="exact"/>
        <w:ind w:right="28"/>
        <w:jc w:val="both"/>
        <w:rPr>
          <w:rFonts w:ascii="Arial" w:hAnsi="Arial" w:cs="Arial"/>
          <w:noProof/>
          <w:color w:val="000000"/>
          <w:sz w:val="20"/>
          <w:szCs w:val="20"/>
        </w:rPr>
      </w:pPr>
      <w:r w:rsidRPr="00823700">
        <w:rPr>
          <w:rFonts w:ascii="Arial" w:hAnsi="Arial" w:cs="Arial"/>
          <w:noProof/>
          <w:color w:val="000000"/>
          <w:sz w:val="20"/>
          <w:szCs w:val="20"/>
        </w:rPr>
        <w:t>Por su parte, los activos por impuestos diferidos, identificados con diferencias temporarias deducibles, solo se reconocen en el caso de que se considere probable que la Sociedad va a tener en el futuro suficientes ganancias fiscales contra las que poder hacerlos efectivos y no procedan del reconocimiento inicial de otros activos y pasivos en una operación que no sea una combinación de negocios y que no afecta ni al resultado fiscal ni al resultado contable. El resto de activos por impuestos diferidos (bases imponibles negativas y deducciones pendientes de compensar) solamente se reconocen en el caso de que se considere probable que la Sociedad vaya a tener en el futuro suficientes ganancias fiscales contra las que poder hacerlos efectivos.</w:t>
      </w:r>
    </w:p>
    <w:p w:rsidR="00944900" w:rsidRPr="00823700" w:rsidRDefault="00944900" w:rsidP="00944900">
      <w:pPr>
        <w:spacing w:before="120" w:after="120" w:line="260" w:lineRule="exact"/>
        <w:jc w:val="both"/>
        <w:rPr>
          <w:rFonts w:ascii="Arial" w:hAnsi="Arial" w:cs="Arial"/>
          <w:noProof/>
          <w:color w:val="000000"/>
          <w:sz w:val="20"/>
          <w:szCs w:val="20"/>
        </w:rPr>
      </w:pPr>
      <w:r w:rsidRPr="00823700">
        <w:rPr>
          <w:rFonts w:ascii="Arial" w:hAnsi="Arial" w:cs="Arial"/>
          <w:noProof/>
          <w:color w:val="000000"/>
          <w:sz w:val="20"/>
          <w:szCs w:val="20"/>
        </w:rPr>
        <w:t>Con ocasión de cada cierre contable, se revisan los impuestos diferidos registrados (tanto activos como pasivos) con objeto de comprobar que se mantienen vigentes, efectuándose las oportunas correcciones a los mismos, de acuerdo con los resultados de los análisis realizados.</w:t>
      </w:r>
    </w:p>
    <w:p w:rsidR="00944900" w:rsidRPr="00823700" w:rsidRDefault="00944900" w:rsidP="00944900">
      <w:pPr>
        <w:spacing w:before="120" w:after="120" w:line="260" w:lineRule="exact"/>
        <w:jc w:val="both"/>
        <w:rPr>
          <w:rFonts w:ascii="Arial" w:hAnsi="Arial" w:cs="Arial"/>
          <w:noProof/>
          <w:color w:val="000000"/>
          <w:sz w:val="20"/>
          <w:szCs w:val="20"/>
        </w:rPr>
      </w:pPr>
      <w:r w:rsidRPr="00823700">
        <w:rPr>
          <w:rFonts w:ascii="Arial" w:hAnsi="Arial" w:cs="Arial"/>
          <w:noProof/>
          <w:color w:val="000000"/>
          <w:sz w:val="20"/>
          <w:szCs w:val="20"/>
        </w:rPr>
        <w:t>El gasto o el ingreso por impuesto diferido se corresponde con el reconocimiento y la cancelación de los pasivos y activos por impuesto diferido, así como, en su caso, por el reconocimiento e imputación a la cuenta de pérdidas y ganancias del ingreso directamente imputado al patrimonio neto que pueda resultar de la contabilización de aquellas deducciones y otras ventajas fiscales que tengan la naturaleza económica de subvención.</w:t>
      </w:r>
    </w:p>
    <w:p w:rsidR="00944900" w:rsidRPr="00CC3B94" w:rsidRDefault="00944900" w:rsidP="00944900">
      <w:pPr>
        <w:pStyle w:val="Ttulo2"/>
        <w:keepNext w:val="0"/>
        <w:spacing w:before="120" w:after="120" w:line="260" w:lineRule="exact"/>
        <w:ind w:right="28"/>
        <w:jc w:val="both"/>
        <w:rPr>
          <w:rFonts w:ascii="Arial" w:hAnsi="Arial" w:cs="Arial"/>
          <w:b w:val="0"/>
          <w:bCs/>
          <w:iCs/>
          <w:u w:val="single"/>
        </w:rPr>
      </w:pPr>
      <w:bookmarkStart w:id="5" w:name="_Toc377380181"/>
      <w:bookmarkStart w:id="6" w:name="_Toc474495502"/>
      <w:r w:rsidRPr="00CC3B94">
        <w:rPr>
          <w:rFonts w:ascii="Arial" w:hAnsi="Arial" w:cs="Arial"/>
          <w:b w:val="0"/>
          <w:bCs/>
          <w:iCs/>
          <w:u w:val="single"/>
        </w:rPr>
        <w:t>3.</w:t>
      </w:r>
      <w:r>
        <w:rPr>
          <w:rFonts w:ascii="Arial" w:hAnsi="Arial" w:cs="Arial"/>
          <w:b w:val="0"/>
          <w:bCs/>
          <w:iCs/>
          <w:u w:val="single"/>
        </w:rPr>
        <w:t>7</w:t>
      </w:r>
      <w:r w:rsidRPr="00CC3B94">
        <w:rPr>
          <w:rFonts w:ascii="Arial" w:hAnsi="Arial" w:cs="Arial"/>
          <w:b w:val="0"/>
          <w:bCs/>
          <w:iCs/>
          <w:u w:val="single"/>
        </w:rPr>
        <w:t>. Ingresos y gastos</w:t>
      </w:r>
      <w:bookmarkEnd w:id="5"/>
      <w:bookmarkEnd w:id="6"/>
    </w:p>
    <w:p w:rsidR="00944900" w:rsidRPr="00823700" w:rsidRDefault="00944900" w:rsidP="00944900">
      <w:pPr>
        <w:pStyle w:val="Textoindependiente"/>
        <w:spacing w:before="120" w:line="260" w:lineRule="exact"/>
        <w:ind w:right="28"/>
        <w:rPr>
          <w:sz w:val="20"/>
          <w:szCs w:val="20"/>
          <w:lang w:val="es-ES"/>
        </w:rPr>
      </w:pPr>
      <w:r w:rsidRPr="00823700">
        <w:rPr>
          <w:sz w:val="20"/>
          <w:szCs w:val="20"/>
          <w:lang w:val="es-ES"/>
        </w:rPr>
        <w:t>Los ingresos y gastos se imputan en función del criterio del devengo con independencia del momento en que se produce la corriente monetaria o financiera derivada de ellos.</w:t>
      </w:r>
    </w:p>
    <w:p w:rsidR="00944900" w:rsidRPr="00823700" w:rsidRDefault="00944900" w:rsidP="00944900">
      <w:pPr>
        <w:pStyle w:val="Textoindependiente"/>
        <w:spacing w:before="120" w:line="260" w:lineRule="exact"/>
        <w:ind w:right="28"/>
        <w:rPr>
          <w:sz w:val="20"/>
          <w:szCs w:val="20"/>
          <w:lang w:val="es-ES"/>
        </w:rPr>
      </w:pPr>
      <w:r w:rsidRPr="00823700">
        <w:rPr>
          <w:sz w:val="20"/>
          <w:szCs w:val="20"/>
          <w:lang w:val="es-ES"/>
        </w:rPr>
        <w:t>No obstante, la Sociedad únicamente contabiliza los beneficios realizados a la fecha de cierre del ejercicio, en tanto que los riesgos y las pérdidas previsibles, aun siendo eventuales, se contabilizan tan pronto son conocidos.</w:t>
      </w:r>
    </w:p>
    <w:p w:rsidR="00944900" w:rsidRPr="00823700" w:rsidRDefault="00944900" w:rsidP="00944900">
      <w:pPr>
        <w:pStyle w:val="Textoindependiente"/>
        <w:spacing w:before="120" w:line="260" w:lineRule="exact"/>
        <w:ind w:right="28"/>
        <w:rPr>
          <w:sz w:val="20"/>
          <w:szCs w:val="20"/>
          <w:lang w:val="es-ES"/>
        </w:rPr>
      </w:pPr>
      <w:r w:rsidRPr="00823700">
        <w:rPr>
          <w:sz w:val="20"/>
          <w:szCs w:val="20"/>
          <w:lang w:val="es-ES"/>
        </w:rPr>
        <w:t>Los ingresos por la venta de bienes o servicios se reconocen por el valor razonable de la contrapartida recibida o a recibir derivada de los mismos. Los descuentos por pronto pago, por volumen u otro tipo de descuentos, así como los intereses incorporados al nominal de los créditos, se registran como una minoración de los mismos. No obstante la Sociedad incluye los intereses incorporados a los créditos comerciales con vencimiento no superior a un año que no tienen un tipo de interés contractual, cuando el efecto de no actualizar los flujos de efectivo no es significativo.</w:t>
      </w:r>
    </w:p>
    <w:p w:rsidR="00944900" w:rsidRPr="00823700" w:rsidRDefault="00944900" w:rsidP="00944900">
      <w:pPr>
        <w:pStyle w:val="Textoindependiente"/>
        <w:spacing w:before="120" w:line="260" w:lineRule="exact"/>
        <w:ind w:right="28"/>
        <w:rPr>
          <w:sz w:val="20"/>
          <w:szCs w:val="20"/>
          <w:lang w:val="es-ES"/>
        </w:rPr>
      </w:pPr>
      <w:r w:rsidRPr="00823700">
        <w:rPr>
          <w:sz w:val="20"/>
          <w:szCs w:val="20"/>
          <w:lang w:val="es-ES"/>
        </w:rPr>
        <w:t>Los descuentos concedidos a clientes se reconocen en el momento en que es probable que se van a cumplir las condiciones que determinan su concesión como una reducción de los ingresos por ventas.</w:t>
      </w:r>
    </w:p>
    <w:p w:rsidR="00944900" w:rsidRPr="00823700" w:rsidRDefault="00944900" w:rsidP="00944900">
      <w:pPr>
        <w:pStyle w:val="Textoindependiente"/>
        <w:spacing w:before="120" w:line="260" w:lineRule="exact"/>
        <w:ind w:right="28"/>
        <w:rPr>
          <w:sz w:val="20"/>
          <w:szCs w:val="20"/>
          <w:lang w:val="es-ES"/>
        </w:rPr>
      </w:pPr>
      <w:r w:rsidRPr="00823700">
        <w:rPr>
          <w:sz w:val="20"/>
          <w:szCs w:val="20"/>
          <w:lang w:val="es-ES"/>
        </w:rPr>
        <w:t xml:space="preserve">Los anticipos a cuenta de ventas futuras figuran valorados por el valor recibido. </w:t>
      </w:r>
    </w:p>
    <w:p w:rsidR="00944900" w:rsidRPr="00AE1CD4" w:rsidRDefault="00944900" w:rsidP="00944900">
      <w:pPr>
        <w:pStyle w:val="Ttulo2"/>
        <w:keepNext w:val="0"/>
        <w:spacing w:before="120" w:after="120" w:line="260" w:lineRule="exact"/>
        <w:ind w:right="28"/>
        <w:jc w:val="both"/>
        <w:rPr>
          <w:rFonts w:ascii="Arial" w:hAnsi="Arial" w:cs="Arial"/>
          <w:b w:val="0"/>
          <w:u w:val="single"/>
        </w:rPr>
      </w:pPr>
      <w:bookmarkStart w:id="7" w:name="_Toc377380182"/>
      <w:bookmarkStart w:id="8" w:name="_Toc474495503"/>
      <w:r w:rsidRPr="00AE1CD4">
        <w:rPr>
          <w:rFonts w:ascii="Arial" w:hAnsi="Arial" w:cs="Arial"/>
          <w:b w:val="0"/>
          <w:u w:val="single"/>
        </w:rPr>
        <w:t>3.</w:t>
      </w:r>
      <w:r>
        <w:rPr>
          <w:rFonts w:ascii="Arial" w:hAnsi="Arial" w:cs="Arial"/>
          <w:b w:val="0"/>
          <w:u w:val="single"/>
        </w:rPr>
        <w:t>8</w:t>
      </w:r>
      <w:r w:rsidRPr="00AE1CD4">
        <w:rPr>
          <w:rFonts w:ascii="Arial" w:hAnsi="Arial" w:cs="Arial"/>
          <w:b w:val="0"/>
          <w:u w:val="single"/>
        </w:rPr>
        <w:t>. Provisiones y contingencias</w:t>
      </w:r>
      <w:bookmarkEnd w:id="7"/>
      <w:bookmarkEnd w:id="8"/>
    </w:p>
    <w:p w:rsidR="00944900" w:rsidRPr="00823700" w:rsidRDefault="00944900" w:rsidP="00944900">
      <w:pPr>
        <w:pStyle w:val="Textoindependiente"/>
        <w:spacing w:before="120" w:line="260" w:lineRule="exact"/>
        <w:ind w:right="28"/>
        <w:rPr>
          <w:sz w:val="20"/>
          <w:szCs w:val="20"/>
          <w:lang w:val="es-ES"/>
        </w:rPr>
      </w:pPr>
      <w:r w:rsidRPr="00823700">
        <w:rPr>
          <w:sz w:val="20"/>
          <w:szCs w:val="20"/>
          <w:lang w:val="es-ES"/>
        </w:rPr>
        <w:t>Las obligaciones existentes a la fecha del balance de situación surgidas como consecuencia de sucesos pasados de los que pueden derivarse perjuicios patrimoniales para la Sociedad cuyo importe y momento de cancelación son indeterminados se registran en el balance de situación como provisiones por el valor actual del importe más probable que se estima que la Sociedad tendrá que desembolsar para cancelar la obligación.</w:t>
      </w:r>
    </w:p>
    <w:p w:rsidR="00944900" w:rsidRPr="00823700" w:rsidRDefault="00944900" w:rsidP="00944900">
      <w:pPr>
        <w:pStyle w:val="Textoindependiente"/>
        <w:spacing w:before="120" w:line="260" w:lineRule="exact"/>
        <w:ind w:right="28"/>
        <w:rPr>
          <w:sz w:val="20"/>
          <w:szCs w:val="20"/>
          <w:lang w:val="es-ES"/>
        </w:rPr>
      </w:pPr>
      <w:r w:rsidRPr="00823700">
        <w:rPr>
          <w:sz w:val="20"/>
          <w:szCs w:val="20"/>
          <w:lang w:val="es-ES"/>
        </w:rPr>
        <w:t>La compensación a recibir de un tercero en el momento de liquidar la obligación, no supone una minoración del importe de la deuda, sin perjuicio del reconocimiento en el activo de la Sociedad del correspondiente derecho de cobro, siempre que no existan dudas de que dicho reembolso será percibido, registrándose dicho activo por un importe no superior de la obligación registrada contablemente.</w:t>
      </w:r>
    </w:p>
    <w:p w:rsidR="00944900" w:rsidRPr="00AE1CD4" w:rsidRDefault="00944900" w:rsidP="00944900">
      <w:pPr>
        <w:pStyle w:val="Ttulo2"/>
        <w:keepLines/>
        <w:autoSpaceDE w:val="0"/>
        <w:autoSpaceDN w:val="0"/>
        <w:adjustRightInd w:val="0"/>
        <w:spacing w:before="120" w:after="120" w:line="260" w:lineRule="exact"/>
        <w:ind w:right="28"/>
        <w:jc w:val="both"/>
        <w:rPr>
          <w:rFonts w:ascii="Arial" w:hAnsi="Arial" w:cs="Arial"/>
          <w:b w:val="0"/>
          <w:u w:val="single"/>
        </w:rPr>
      </w:pPr>
      <w:bookmarkStart w:id="9" w:name="_Toc377380183"/>
      <w:bookmarkStart w:id="10" w:name="_Toc474495504"/>
      <w:r w:rsidRPr="00AE1CD4">
        <w:rPr>
          <w:rFonts w:ascii="Arial" w:hAnsi="Arial" w:cs="Arial"/>
          <w:b w:val="0"/>
          <w:u w:val="single"/>
        </w:rPr>
        <w:t>3.</w:t>
      </w:r>
      <w:r>
        <w:rPr>
          <w:rFonts w:ascii="Arial" w:hAnsi="Arial" w:cs="Arial"/>
          <w:b w:val="0"/>
          <w:u w:val="single"/>
        </w:rPr>
        <w:t>9</w:t>
      </w:r>
      <w:r w:rsidRPr="00AE1CD4">
        <w:rPr>
          <w:rFonts w:ascii="Arial" w:hAnsi="Arial" w:cs="Arial"/>
          <w:b w:val="0"/>
          <w:u w:val="single"/>
        </w:rPr>
        <w:t>. Criterios empleados para el registro y valoración de los gastos de personal</w:t>
      </w:r>
      <w:bookmarkEnd w:id="9"/>
      <w:bookmarkEnd w:id="10"/>
    </w:p>
    <w:p w:rsidR="00944900" w:rsidRDefault="00944900" w:rsidP="00944900">
      <w:pPr>
        <w:pStyle w:val="Textoindependiente"/>
        <w:keepNext/>
        <w:keepLines/>
        <w:spacing w:before="120" w:line="260" w:lineRule="exact"/>
        <w:ind w:right="28"/>
        <w:rPr>
          <w:sz w:val="20"/>
          <w:szCs w:val="20"/>
          <w:lang w:val="es-ES"/>
        </w:rPr>
      </w:pPr>
      <w:r w:rsidRPr="00823700">
        <w:rPr>
          <w:sz w:val="20"/>
          <w:szCs w:val="20"/>
          <w:lang w:val="es-ES"/>
        </w:rPr>
        <w:t>Para el caso de las retribuciones por prestación definida las contribuciones a realizar dan lugar a un pasivo por retribuciones a largo plazo al personal cuando, al cierre del ejercicio, figuren contribuciones devengadas no satisfechas.</w:t>
      </w:r>
    </w:p>
    <w:p w:rsidR="00944900" w:rsidRDefault="00944900" w:rsidP="00944900">
      <w:pPr>
        <w:pStyle w:val="Textoindependiente"/>
        <w:spacing w:before="120" w:line="260" w:lineRule="exact"/>
        <w:ind w:right="28"/>
        <w:rPr>
          <w:sz w:val="20"/>
          <w:szCs w:val="20"/>
          <w:lang w:val="es-ES"/>
        </w:rPr>
      </w:pPr>
      <w:r w:rsidRPr="00823700">
        <w:rPr>
          <w:sz w:val="20"/>
          <w:szCs w:val="20"/>
          <w:lang w:val="es-ES"/>
        </w:rPr>
        <w:t>El importe que se reconoce como provisión por retribuciones al personal a largo plazo es la diferencia entre el valor actual de las retribuciones comprometidas y el valor razonable de los eventuales activos afectos a los compromisos con los que se liquidarán las obligaciones.</w:t>
      </w:r>
    </w:p>
    <w:p w:rsidR="00944900" w:rsidRDefault="00944900" w:rsidP="00944900">
      <w:pPr>
        <w:pStyle w:val="Textoindependiente"/>
        <w:spacing w:before="120" w:line="260" w:lineRule="exact"/>
        <w:ind w:right="28"/>
        <w:rPr>
          <w:sz w:val="20"/>
          <w:szCs w:val="20"/>
          <w:lang w:val="es-ES"/>
        </w:rPr>
      </w:pPr>
      <w:r w:rsidRPr="00823700">
        <w:rPr>
          <w:sz w:val="20"/>
          <w:szCs w:val="20"/>
          <w:lang w:val="es-ES"/>
        </w:rPr>
        <w:t>Excepto en el caso de causa justificada, las sociedades vienen obligadas a indemnizar a sus empleados cuando cesan en sus servicios.</w:t>
      </w:r>
    </w:p>
    <w:p w:rsidR="00944900" w:rsidRPr="00823700" w:rsidRDefault="00944900" w:rsidP="00944900">
      <w:pPr>
        <w:pStyle w:val="Textoindependiente"/>
        <w:spacing w:before="120" w:line="260" w:lineRule="exact"/>
        <w:ind w:right="28"/>
        <w:rPr>
          <w:sz w:val="20"/>
          <w:szCs w:val="20"/>
          <w:lang w:val="es-ES"/>
        </w:rPr>
      </w:pPr>
      <w:r w:rsidRPr="00823700">
        <w:rPr>
          <w:sz w:val="20"/>
          <w:szCs w:val="20"/>
          <w:lang w:val="es-ES"/>
        </w:rPr>
        <w:t>Ante la ausencia de cualquier necesidad previsible de terminación anormal del empleo y dado que no reciben indemnizaciones aquellos empleados que se jubilan o cesan voluntariamente en sus servicios, los pagos por indemnizaciones, cuando surgen, se cargan a gastos en el momento en que se toma la decisión de efectuar el despido.</w:t>
      </w:r>
    </w:p>
    <w:p w:rsidR="00944900" w:rsidRPr="00AE1CD4" w:rsidRDefault="00944900" w:rsidP="00944900">
      <w:pPr>
        <w:pStyle w:val="Ttulo2"/>
        <w:keepNext w:val="0"/>
        <w:widowControl w:val="0"/>
        <w:spacing w:before="120" w:after="120" w:line="260" w:lineRule="exact"/>
        <w:ind w:right="28"/>
        <w:jc w:val="both"/>
        <w:rPr>
          <w:rFonts w:ascii="Arial" w:hAnsi="Arial" w:cs="Arial"/>
          <w:b w:val="0"/>
          <w:bCs/>
          <w:iCs/>
          <w:u w:val="single"/>
        </w:rPr>
      </w:pPr>
      <w:bookmarkStart w:id="11" w:name="_Toc474495509"/>
      <w:r w:rsidRPr="00AE1CD4">
        <w:rPr>
          <w:rFonts w:ascii="Arial" w:hAnsi="Arial" w:cs="Arial"/>
          <w:b w:val="0"/>
          <w:bCs/>
          <w:iCs/>
          <w:u w:val="single"/>
        </w:rPr>
        <w:t>3.1</w:t>
      </w:r>
      <w:r>
        <w:rPr>
          <w:rFonts w:ascii="Arial" w:hAnsi="Arial" w:cs="Arial"/>
          <w:b w:val="0"/>
          <w:bCs/>
          <w:iCs/>
          <w:u w:val="single"/>
        </w:rPr>
        <w:t>0</w:t>
      </w:r>
      <w:r w:rsidRPr="00AE1CD4">
        <w:rPr>
          <w:rFonts w:ascii="Arial" w:hAnsi="Arial" w:cs="Arial"/>
          <w:b w:val="0"/>
          <w:bCs/>
          <w:iCs/>
          <w:u w:val="single"/>
        </w:rPr>
        <w:t xml:space="preserve"> Derechos de emisión de gases de efecto invernadero</w:t>
      </w:r>
      <w:bookmarkEnd w:id="11"/>
    </w:p>
    <w:p w:rsidR="00944900" w:rsidRPr="00823700" w:rsidRDefault="00944900" w:rsidP="00944900">
      <w:pPr>
        <w:pStyle w:val="Textoindependiente"/>
        <w:widowControl w:val="0"/>
        <w:spacing w:before="120" w:line="260" w:lineRule="exact"/>
        <w:ind w:right="28"/>
        <w:rPr>
          <w:sz w:val="20"/>
          <w:szCs w:val="20"/>
          <w:lang w:val="es-ES"/>
        </w:rPr>
      </w:pPr>
      <w:r w:rsidRPr="00823700">
        <w:rPr>
          <w:sz w:val="20"/>
          <w:szCs w:val="20"/>
          <w:lang w:val="es-ES"/>
        </w:rPr>
        <w:t>En el caso de existir, estos derechos se reconocen por su precio de adquisición. Cuando se tratan de derechos adquiridos sin contraprestación o por un importe sustancialmente inferior a su valor de mercado, se reconoce un ingreso directamente imputado al patrimonio neto al comienzo del ejercicio natural al que corresponden, que es objeto de transferencia a la cuenta de pérdidas y ganancias a medida que se realiza la imputación a gastos por las emisiones asociadas a los derechos recibidos sin contraprestación.</w:t>
      </w:r>
    </w:p>
    <w:p w:rsidR="00944900" w:rsidRPr="00823700" w:rsidRDefault="00944900" w:rsidP="00944900">
      <w:pPr>
        <w:pStyle w:val="Textoindependiente"/>
        <w:spacing w:before="120" w:line="260" w:lineRule="exact"/>
        <w:ind w:right="28"/>
        <w:rPr>
          <w:sz w:val="20"/>
          <w:szCs w:val="20"/>
          <w:lang w:val="es-ES"/>
        </w:rPr>
      </w:pPr>
      <w:r w:rsidRPr="00823700">
        <w:rPr>
          <w:sz w:val="20"/>
          <w:szCs w:val="20"/>
          <w:lang w:val="es-ES"/>
        </w:rPr>
        <w:t>Los derechos de emisión no se amortizan. Y están sujetos a las correcciones valorativas por deterioro que sean necesarias.</w:t>
      </w:r>
    </w:p>
    <w:p w:rsidR="00944900" w:rsidRPr="00823700" w:rsidRDefault="00944900" w:rsidP="00944900">
      <w:pPr>
        <w:pStyle w:val="Textoindependiente"/>
        <w:spacing w:before="120" w:line="260" w:lineRule="exact"/>
        <w:ind w:right="28"/>
        <w:rPr>
          <w:sz w:val="20"/>
          <w:szCs w:val="20"/>
          <w:lang w:val="es-ES"/>
        </w:rPr>
      </w:pPr>
      <w:r w:rsidRPr="00823700">
        <w:rPr>
          <w:sz w:val="20"/>
          <w:szCs w:val="20"/>
          <w:lang w:val="es-ES"/>
        </w:rPr>
        <w:t>La emisión de gastos de efecto invernadero origina el reconocimiento de un gasto en la cuenta de pérdidas y ganancias del ejercicio y de la correspondiente provisión, dado que a la fecha de cierre es indeterminado en cuanto a su importe exacto. La provisión se mantendrá hasta el momento en que se cancele la obligación mediante la entrega de los correspondientes derechos.</w:t>
      </w:r>
    </w:p>
    <w:p w:rsidR="00944900" w:rsidRPr="00AE1CD4" w:rsidRDefault="00944900" w:rsidP="00944900">
      <w:pPr>
        <w:pStyle w:val="Ttulo2"/>
        <w:keepNext w:val="0"/>
        <w:spacing w:before="120" w:after="120" w:line="260" w:lineRule="exact"/>
        <w:ind w:right="28"/>
        <w:jc w:val="both"/>
        <w:rPr>
          <w:rFonts w:ascii="Arial" w:hAnsi="Arial" w:cs="Arial"/>
          <w:b w:val="0"/>
          <w:bCs/>
          <w:iCs/>
          <w:u w:val="single"/>
        </w:rPr>
      </w:pPr>
      <w:r w:rsidRPr="00AE1CD4">
        <w:rPr>
          <w:rFonts w:ascii="Arial" w:hAnsi="Arial" w:cs="Arial"/>
          <w:b w:val="0"/>
          <w:bCs/>
          <w:iCs/>
          <w:u w:val="single"/>
        </w:rPr>
        <w:t>3.1</w:t>
      </w:r>
      <w:r>
        <w:rPr>
          <w:rFonts w:ascii="Arial" w:hAnsi="Arial" w:cs="Arial"/>
          <w:b w:val="0"/>
          <w:bCs/>
          <w:iCs/>
          <w:u w:val="single"/>
        </w:rPr>
        <w:t>1</w:t>
      </w:r>
      <w:r w:rsidRPr="00AE1CD4">
        <w:rPr>
          <w:rFonts w:ascii="Arial" w:hAnsi="Arial" w:cs="Arial"/>
          <w:b w:val="0"/>
          <w:bCs/>
          <w:iCs/>
          <w:u w:val="single"/>
        </w:rPr>
        <w:t>. Criterios empleados en transacciones entre partes vinculadas</w:t>
      </w:r>
    </w:p>
    <w:p w:rsidR="00944900" w:rsidRPr="007059FB" w:rsidRDefault="00944900" w:rsidP="00944900">
      <w:pPr>
        <w:pStyle w:val="Textoindependiente"/>
        <w:spacing w:before="120" w:line="260" w:lineRule="exact"/>
        <w:ind w:right="28"/>
        <w:rPr>
          <w:sz w:val="20"/>
          <w:szCs w:val="20"/>
          <w:lang w:val="es-ES"/>
        </w:rPr>
      </w:pPr>
      <w:r w:rsidRPr="007059FB">
        <w:rPr>
          <w:sz w:val="20"/>
          <w:szCs w:val="20"/>
          <w:lang w:val="es-ES"/>
        </w:rPr>
        <w:t>Las operaciones entre empresas del mismo grupo, con independencia del grado de vinculación, se contabilizan de acuerdo con las normas generales. Los elementos objeto de las transacciones que se realicen se contabilizarán en el momento inicial por su valor razonable. La valoración posterior se realiza de acuerdo con lo previsto en las normas particulares para las cuentas que corresponda.</w:t>
      </w:r>
    </w:p>
    <w:p w:rsidR="00944900" w:rsidRPr="00C57975" w:rsidRDefault="00944900" w:rsidP="00944900">
      <w:pPr>
        <w:pStyle w:val="Textoindependiente"/>
        <w:spacing w:before="120" w:line="260" w:lineRule="exact"/>
        <w:ind w:right="28"/>
        <w:rPr>
          <w:sz w:val="20"/>
          <w:szCs w:val="20"/>
        </w:rPr>
      </w:pPr>
      <w:r w:rsidRPr="007059FB">
        <w:rPr>
          <w:sz w:val="20"/>
          <w:szCs w:val="20"/>
          <w:lang w:val="es-ES"/>
        </w:rPr>
        <w:t xml:space="preserve">Esta norma de valoración afecta a las partes vinculadas que se explicitan en la Norma de elaboración de cuentas anuales 13ª del Plan General de Contabilidad. </w:t>
      </w:r>
      <w:r w:rsidRPr="00C57975">
        <w:rPr>
          <w:sz w:val="20"/>
          <w:szCs w:val="20"/>
        </w:rPr>
        <w:t>En este sentido:</w:t>
      </w:r>
    </w:p>
    <w:p w:rsidR="00944900" w:rsidRPr="007059FB" w:rsidRDefault="00944900" w:rsidP="00944900">
      <w:pPr>
        <w:pStyle w:val="Textoindependiente"/>
        <w:numPr>
          <w:ilvl w:val="0"/>
          <w:numId w:val="7"/>
        </w:numPr>
        <w:spacing w:before="120" w:line="260" w:lineRule="exact"/>
        <w:ind w:left="426" w:right="28"/>
        <w:rPr>
          <w:sz w:val="20"/>
          <w:szCs w:val="20"/>
          <w:lang w:val="es-ES"/>
        </w:rPr>
      </w:pPr>
      <w:r w:rsidRPr="007059FB">
        <w:rPr>
          <w:sz w:val="20"/>
          <w:szCs w:val="20"/>
          <w:lang w:val="es-ES"/>
        </w:rPr>
        <w:t>Se entenderá que una empresa forma parte del grupo cuando ambas estén vinculadas por una relación de control, directa o indirecta, análoga a la prevista en el artículo 42 del Código de Comercio, o cuando las empresas estén controladas por cualquier medio por una o varias personas jurídicas que actúen conjuntamente o se hallen bajo dirección única por acuerdos o cláusulas estatutarias.</w:t>
      </w:r>
    </w:p>
    <w:p w:rsidR="00944900" w:rsidRPr="007059FB" w:rsidRDefault="00944900" w:rsidP="00944900">
      <w:pPr>
        <w:pStyle w:val="Textoindependiente"/>
        <w:numPr>
          <w:ilvl w:val="0"/>
          <w:numId w:val="7"/>
        </w:numPr>
        <w:spacing w:before="120" w:line="260" w:lineRule="exact"/>
        <w:ind w:left="426" w:right="28"/>
        <w:rPr>
          <w:sz w:val="20"/>
          <w:szCs w:val="20"/>
          <w:lang w:val="es-ES"/>
        </w:rPr>
      </w:pPr>
      <w:r w:rsidRPr="007059FB">
        <w:rPr>
          <w:sz w:val="20"/>
          <w:szCs w:val="20"/>
          <w:lang w:val="es-ES"/>
        </w:rPr>
        <w:t>Se entenderá que una empresa es asociada cuando, sin que se trate de una empresa del grupo en el sentido señalado, la empresa o las personas físicas dominantes, ejerzan sobre esa empresa asociada una influencia significativa, tal como se desarrolla detenidamente en la citada Norma de elaboración de cuentas anuales 13ª.</w:t>
      </w:r>
    </w:p>
    <w:p w:rsidR="00944900" w:rsidRPr="007059FB" w:rsidRDefault="00944900" w:rsidP="00944900">
      <w:pPr>
        <w:pStyle w:val="Textoindependiente"/>
        <w:keepNext/>
        <w:keepLines/>
        <w:widowControl w:val="0"/>
        <w:numPr>
          <w:ilvl w:val="0"/>
          <w:numId w:val="7"/>
        </w:numPr>
        <w:spacing w:before="120" w:line="260" w:lineRule="exact"/>
        <w:ind w:left="425" w:right="28" w:hanging="357"/>
        <w:rPr>
          <w:sz w:val="20"/>
          <w:szCs w:val="20"/>
          <w:lang w:val="es-ES"/>
        </w:rPr>
      </w:pPr>
      <w:r w:rsidRPr="007059FB">
        <w:rPr>
          <w:sz w:val="20"/>
          <w:szCs w:val="20"/>
          <w:lang w:val="es-ES"/>
        </w:rPr>
        <w:t xml:space="preserve">Una parte se considera vinculada a otra cuando una de ellas ejerce o tiene la posibilidad de ejercer directa o indirectamente o en virtud de pactos o acuerdos entre accionistas o partícipes, el control sobre otra o una influencia significativa en la toma de decisiones financieras y de explotación de la otra, tal como se detalla detenidamente en la Norma de elaboración de cuentas anuales 15ª. </w:t>
      </w:r>
    </w:p>
    <w:p w:rsidR="00944900" w:rsidRPr="00C57975" w:rsidRDefault="00944900" w:rsidP="00944900">
      <w:pPr>
        <w:pStyle w:val="Textoindependiente"/>
        <w:spacing w:before="120" w:line="260" w:lineRule="exact"/>
        <w:ind w:right="28"/>
        <w:rPr>
          <w:sz w:val="20"/>
          <w:szCs w:val="20"/>
          <w:lang w:val="es-ES"/>
        </w:rPr>
      </w:pPr>
      <w:r w:rsidRPr="007059FB">
        <w:rPr>
          <w:sz w:val="20"/>
          <w:szCs w:val="20"/>
          <w:lang w:val="es-ES"/>
        </w:rPr>
        <w:t>Se consideran partes vinculadas a la Sociedad, adicionalmente a las empresas del grupo, asociadas y multigrupo, a las personas físicas que posean directa o indirectamente alguna participación en los derechos de voto de la Sociedad, o en su dominante, de manera que les permita ejercer sobre una u otra una influencia significativa, así como a sus familiares próximos, al personal clave de la Sociedad o de su dominante (personas físicas con autoridad y responsabilidad sobre la planificación, dirección y control de las actividades de la empresa, ya sea directa o indirectamente), entre la que se incluyen los Administradores y los Directivos, junto a sus familiares próximos, así como a las entidades sobre las que las personas mencionadas anteriormente puedan ejercer una influencia significativa. Asimismo tienen la consideración de parte vinculadas las empresas que compartan algún consejero o directivo con la Sociedad, salvo cuando éste no ejerza una influencia significativa en las políticas financiera y de explotación de ambas, y, en su caso, los familiares próximos del representante persona física del Administrador, persona jurídica, de la Sociedad.</w:t>
      </w:r>
    </w:p>
    <w:p w:rsidR="00944900" w:rsidRPr="00C57975" w:rsidRDefault="00944900" w:rsidP="00944900">
      <w:pPr>
        <w:widowControl w:val="0"/>
        <w:autoSpaceDE w:val="0"/>
        <w:autoSpaceDN w:val="0"/>
        <w:adjustRightInd w:val="0"/>
        <w:spacing w:line="276" w:lineRule="auto"/>
        <w:rPr>
          <w:rFonts w:ascii="Arial" w:hAnsi="Arial" w:cs="Arial"/>
          <w:b/>
          <w:bCs/>
          <w:sz w:val="20"/>
          <w:szCs w:val="20"/>
        </w:rPr>
      </w:pPr>
    </w:p>
    <w:p w:rsidR="00C579AF" w:rsidRPr="00575B97" w:rsidRDefault="00C579AF" w:rsidP="00575B97">
      <w:bookmarkStart w:id="12" w:name="_GoBack"/>
      <w:bookmarkEnd w:id="12"/>
    </w:p>
    <w:sectPr w:rsidR="00C579AF" w:rsidRPr="00575B97" w:rsidSect="00AD0AF9">
      <w:headerReference w:type="default" r:id="rId8"/>
      <w:pgSz w:w="11900" w:h="16840"/>
      <w:pgMar w:top="2835" w:right="1701" w:bottom="2268" w:left="1701"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A1F" w:rsidRDefault="00C21A1F" w:rsidP="003E5CB9">
      <w:pPr>
        <w:spacing w:after="0" w:line="240" w:lineRule="auto"/>
      </w:pPr>
      <w:r>
        <w:separator/>
      </w:r>
    </w:p>
  </w:endnote>
  <w:endnote w:type="continuationSeparator" w:id="0">
    <w:p w:rsidR="00C21A1F" w:rsidRDefault="00C21A1F" w:rsidP="003E5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A1F" w:rsidRDefault="00C21A1F" w:rsidP="003E5CB9">
      <w:pPr>
        <w:spacing w:after="0" w:line="240" w:lineRule="auto"/>
      </w:pPr>
      <w:r>
        <w:separator/>
      </w:r>
    </w:p>
  </w:footnote>
  <w:footnote w:type="continuationSeparator" w:id="0">
    <w:p w:rsidR="00C21A1F" w:rsidRDefault="00C21A1F" w:rsidP="003E5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CB9" w:rsidRDefault="003E5CB9" w:rsidP="00442319">
    <w:pPr>
      <w:pStyle w:val="Encabezado"/>
    </w:pPr>
  </w:p>
  <w:p w:rsidR="00442319" w:rsidRDefault="00442319" w:rsidP="00442319">
    <w:pPr>
      <w:pStyle w:val="Encabezado"/>
    </w:pPr>
  </w:p>
  <w:p w:rsidR="00442319" w:rsidRPr="00442319" w:rsidRDefault="00E30F86" w:rsidP="00AD0AF9">
    <w:pPr>
      <w:pStyle w:val="Encabezado"/>
      <w:tabs>
        <w:tab w:val="clear" w:pos="4252"/>
        <w:tab w:val="clear" w:pos="8504"/>
        <w:tab w:val="left" w:pos="6525"/>
      </w:tabs>
    </w:pPr>
    <w:r>
      <w:rPr>
        <w:noProof/>
        <w:lang w:eastAsia="es-ES"/>
      </w:rPr>
      <w:drawing>
        <wp:anchor distT="0" distB="0" distL="114300" distR="114300" simplePos="0" relativeHeight="251658240" behindDoc="0" locked="0" layoutInCell="1" allowOverlap="1">
          <wp:simplePos x="0" y="0"/>
          <wp:positionH relativeFrom="column">
            <wp:posOffset>4920615</wp:posOffset>
          </wp:positionH>
          <wp:positionV relativeFrom="paragraph">
            <wp:posOffset>259715</wp:posOffset>
          </wp:positionV>
          <wp:extent cx="523875" cy="647065"/>
          <wp:effectExtent l="0" t="0" r="9525" b="63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47065"/>
                  </a:xfrm>
                  <a:prstGeom prst="rect">
                    <a:avLst/>
                  </a:prstGeom>
                  <a:noFill/>
                </pic:spPr>
              </pic:pic>
            </a:graphicData>
          </a:graphic>
        </wp:anchor>
      </w:drawing>
    </w:r>
    <w:r>
      <w:rPr>
        <w:noProof/>
        <w:lang w:eastAsia="es-ES"/>
      </w:rPr>
      <w:drawing>
        <wp:anchor distT="0" distB="0" distL="114300" distR="114300" simplePos="0" relativeHeight="251659264" behindDoc="0" locked="0" layoutInCell="1" allowOverlap="1">
          <wp:simplePos x="0" y="0"/>
          <wp:positionH relativeFrom="column">
            <wp:posOffset>-60960</wp:posOffset>
          </wp:positionH>
          <wp:positionV relativeFrom="paragraph">
            <wp:posOffset>201931</wp:posOffset>
          </wp:positionV>
          <wp:extent cx="428625" cy="705326"/>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608" cy="725045"/>
                  </a:xfrm>
                  <a:prstGeom prst="rect">
                    <a:avLst/>
                  </a:prstGeom>
                  <a:noFill/>
                </pic:spPr>
              </pic:pic>
            </a:graphicData>
          </a:graphic>
          <wp14:sizeRelH relativeFrom="margin">
            <wp14:pctWidth>0</wp14:pctWidth>
          </wp14:sizeRelH>
          <wp14:sizeRelV relativeFrom="margin">
            <wp14:pctHeight>0</wp14:pctHeight>
          </wp14:sizeRelV>
        </wp:anchor>
      </w:drawing>
    </w:r>
    <w:r w:rsidR="00AD0AF9">
      <w:tab/>
    </w:r>
    <w:r w:rsidR="00AD0AF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664C"/>
    <w:multiLevelType w:val="hybridMultilevel"/>
    <w:tmpl w:val="7D56E5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89C4B05"/>
    <w:multiLevelType w:val="hybridMultilevel"/>
    <w:tmpl w:val="A99078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2F538F"/>
    <w:multiLevelType w:val="hybridMultilevel"/>
    <w:tmpl w:val="CD1A09A2"/>
    <w:lvl w:ilvl="0" w:tplc="19264DB8">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
    <w:nsid w:val="5ABB7E41"/>
    <w:multiLevelType w:val="hybridMultilevel"/>
    <w:tmpl w:val="8C3A05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A0937F7"/>
    <w:multiLevelType w:val="hybridMultilevel"/>
    <w:tmpl w:val="5BD6BED4"/>
    <w:lvl w:ilvl="0" w:tplc="0C0A0017">
      <w:start w:val="1"/>
      <w:numFmt w:val="lowerLetter"/>
      <w:lvlText w:val="%1)"/>
      <w:lvlJc w:val="left"/>
      <w:pPr>
        <w:ind w:left="939" w:hanging="360"/>
      </w:pPr>
    </w:lvl>
    <w:lvl w:ilvl="1" w:tplc="0C0A0019" w:tentative="1">
      <w:start w:val="1"/>
      <w:numFmt w:val="lowerLetter"/>
      <w:lvlText w:val="%2."/>
      <w:lvlJc w:val="left"/>
      <w:pPr>
        <w:ind w:left="1659" w:hanging="360"/>
      </w:pPr>
    </w:lvl>
    <w:lvl w:ilvl="2" w:tplc="0C0A001B" w:tentative="1">
      <w:start w:val="1"/>
      <w:numFmt w:val="lowerRoman"/>
      <w:lvlText w:val="%3."/>
      <w:lvlJc w:val="right"/>
      <w:pPr>
        <w:ind w:left="2379" w:hanging="180"/>
      </w:pPr>
    </w:lvl>
    <w:lvl w:ilvl="3" w:tplc="0C0A000F" w:tentative="1">
      <w:start w:val="1"/>
      <w:numFmt w:val="decimal"/>
      <w:lvlText w:val="%4."/>
      <w:lvlJc w:val="left"/>
      <w:pPr>
        <w:ind w:left="3099" w:hanging="360"/>
      </w:pPr>
    </w:lvl>
    <w:lvl w:ilvl="4" w:tplc="0C0A0019" w:tentative="1">
      <w:start w:val="1"/>
      <w:numFmt w:val="lowerLetter"/>
      <w:lvlText w:val="%5."/>
      <w:lvlJc w:val="left"/>
      <w:pPr>
        <w:ind w:left="3819" w:hanging="360"/>
      </w:pPr>
    </w:lvl>
    <w:lvl w:ilvl="5" w:tplc="0C0A001B" w:tentative="1">
      <w:start w:val="1"/>
      <w:numFmt w:val="lowerRoman"/>
      <w:lvlText w:val="%6."/>
      <w:lvlJc w:val="right"/>
      <w:pPr>
        <w:ind w:left="4539" w:hanging="180"/>
      </w:pPr>
    </w:lvl>
    <w:lvl w:ilvl="6" w:tplc="0C0A000F" w:tentative="1">
      <w:start w:val="1"/>
      <w:numFmt w:val="decimal"/>
      <w:lvlText w:val="%7."/>
      <w:lvlJc w:val="left"/>
      <w:pPr>
        <w:ind w:left="5259" w:hanging="360"/>
      </w:pPr>
    </w:lvl>
    <w:lvl w:ilvl="7" w:tplc="0C0A0019" w:tentative="1">
      <w:start w:val="1"/>
      <w:numFmt w:val="lowerLetter"/>
      <w:lvlText w:val="%8."/>
      <w:lvlJc w:val="left"/>
      <w:pPr>
        <w:ind w:left="5979" w:hanging="360"/>
      </w:pPr>
    </w:lvl>
    <w:lvl w:ilvl="8" w:tplc="0C0A001B" w:tentative="1">
      <w:start w:val="1"/>
      <w:numFmt w:val="lowerRoman"/>
      <w:lvlText w:val="%9."/>
      <w:lvlJc w:val="right"/>
      <w:pPr>
        <w:ind w:left="6699" w:hanging="180"/>
      </w:pPr>
    </w:lvl>
  </w:abstractNum>
  <w:abstractNum w:abstractNumId="5">
    <w:nsid w:val="7BF24830"/>
    <w:multiLevelType w:val="hybridMultilevel"/>
    <w:tmpl w:val="79C861F4"/>
    <w:lvl w:ilvl="0" w:tplc="0C0A0001">
      <w:start w:val="1"/>
      <w:numFmt w:val="bullet"/>
      <w:lvlText w:val=""/>
      <w:lvlJc w:val="left"/>
      <w:pPr>
        <w:tabs>
          <w:tab w:val="num" w:pos="910"/>
        </w:tabs>
        <w:ind w:left="910" w:hanging="360"/>
      </w:pPr>
      <w:rPr>
        <w:rFonts w:ascii="Symbol" w:hAnsi="Symbol" w:hint="default"/>
      </w:rPr>
    </w:lvl>
    <w:lvl w:ilvl="1" w:tplc="0C0A0003">
      <w:start w:val="1"/>
      <w:numFmt w:val="bullet"/>
      <w:lvlText w:val="o"/>
      <w:lvlJc w:val="left"/>
      <w:pPr>
        <w:tabs>
          <w:tab w:val="num" w:pos="562"/>
        </w:tabs>
        <w:ind w:left="562" w:hanging="360"/>
      </w:pPr>
      <w:rPr>
        <w:rFonts w:ascii="Courier New" w:hAnsi="Courier New" w:hint="default"/>
      </w:rPr>
    </w:lvl>
    <w:lvl w:ilvl="2" w:tplc="0C0A0005">
      <w:start w:val="1"/>
      <w:numFmt w:val="bullet"/>
      <w:lvlText w:val=""/>
      <w:lvlJc w:val="left"/>
      <w:pPr>
        <w:tabs>
          <w:tab w:val="num" w:pos="1282"/>
        </w:tabs>
        <w:ind w:left="1282" w:hanging="360"/>
      </w:pPr>
      <w:rPr>
        <w:rFonts w:ascii="Wingdings" w:hAnsi="Wingdings" w:hint="default"/>
      </w:rPr>
    </w:lvl>
    <w:lvl w:ilvl="3" w:tplc="0C0A000B">
      <w:start w:val="1"/>
      <w:numFmt w:val="bullet"/>
      <w:lvlText w:val=""/>
      <w:lvlJc w:val="left"/>
      <w:pPr>
        <w:tabs>
          <w:tab w:val="num" w:pos="2002"/>
        </w:tabs>
        <w:ind w:left="2002" w:hanging="360"/>
      </w:pPr>
      <w:rPr>
        <w:rFonts w:ascii="Wingdings" w:hAnsi="Wingdings" w:hint="default"/>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A0"/>
    <w:rsid w:val="00054756"/>
    <w:rsid w:val="000C42FC"/>
    <w:rsid w:val="000F56C9"/>
    <w:rsid w:val="0010454F"/>
    <w:rsid w:val="001922A8"/>
    <w:rsid w:val="0019366C"/>
    <w:rsid w:val="00194AD0"/>
    <w:rsid w:val="001A3624"/>
    <w:rsid w:val="001A7DEF"/>
    <w:rsid w:val="00230D99"/>
    <w:rsid w:val="00241115"/>
    <w:rsid w:val="00265F3F"/>
    <w:rsid w:val="002C3558"/>
    <w:rsid w:val="002F6541"/>
    <w:rsid w:val="003063C8"/>
    <w:rsid w:val="0034359A"/>
    <w:rsid w:val="00397C4D"/>
    <w:rsid w:val="003E1B87"/>
    <w:rsid w:val="003E5CB9"/>
    <w:rsid w:val="004311A8"/>
    <w:rsid w:val="00442319"/>
    <w:rsid w:val="00495247"/>
    <w:rsid w:val="005558C3"/>
    <w:rsid w:val="005601A2"/>
    <w:rsid w:val="00575B97"/>
    <w:rsid w:val="005A7055"/>
    <w:rsid w:val="005C4BA5"/>
    <w:rsid w:val="005D3754"/>
    <w:rsid w:val="005E1695"/>
    <w:rsid w:val="005F1B6C"/>
    <w:rsid w:val="0064460C"/>
    <w:rsid w:val="006474CD"/>
    <w:rsid w:val="006D50D5"/>
    <w:rsid w:val="00701963"/>
    <w:rsid w:val="00747268"/>
    <w:rsid w:val="00764756"/>
    <w:rsid w:val="007A4C65"/>
    <w:rsid w:val="007B51AC"/>
    <w:rsid w:val="007D39EB"/>
    <w:rsid w:val="008129C9"/>
    <w:rsid w:val="00835EFA"/>
    <w:rsid w:val="00865B6B"/>
    <w:rsid w:val="0089488C"/>
    <w:rsid w:val="008E263A"/>
    <w:rsid w:val="008E3568"/>
    <w:rsid w:val="00943A8B"/>
    <w:rsid w:val="00944900"/>
    <w:rsid w:val="00946028"/>
    <w:rsid w:val="009764CA"/>
    <w:rsid w:val="0098193D"/>
    <w:rsid w:val="009E3B2D"/>
    <w:rsid w:val="00A04CE7"/>
    <w:rsid w:val="00A35D3E"/>
    <w:rsid w:val="00A460A3"/>
    <w:rsid w:val="00A6066B"/>
    <w:rsid w:val="00A75DBD"/>
    <w:rsid w:val="00AA46C7"/>
    <w:rsid w:val="00AD0AF9"/>
    <w:rsid w:val="00B707B5"/>
    <w:rsid w:val="00BB5666"/>
    <w:rsid w:val="00BE2D53"/>
    <w:rsid w:val="00C06D60"/>
    <w:rsid w:val="00C21A1F"/>
    <w:rsid w:val="00C224B6"/>
    <w:rsid w:val="00C579AF"/>
    <w:rsid w:val="00C65DF8"/>
    <w:rsid w:val="00CA3EB1"/>
    <w:rsid w:val="00CE4CFC"/>
    <w:rsid w:val="00D6698D"/>
    <w:rsid w:val="00D833BB"/>
    <w:rsid w:val="00DA3D80"/>
    <w:rsid w:val="00DC0C4C"/>
    <w:rsid w:val="00DF1A7A"/>
    <w:rsid w:val="00E02CAA"/>
    <w:rsid w:val="00E30F86"/>
    <w:rsid w:val="00E652A0"/>
    <w:rsid w:val="00E97031"/>
    <w:rsid w:val="00F04E82"/>
    <w:rsid w:val="00F2470A"/>
    <w:rsid w:val="00F34BC2"/>
    <w:rsid w:val="00F51EC1"/>
    <w:rsid w:val="00F77A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9"/>
    <w:qFormat/>
    <w:rsid w:val="00944900"/>
    <w:pPr>
      <w:keepNext/>
      <w:spacing w:after="0" w:line="240" w:lineRule="auto"/>
      <w:outlineLvl w:val="1"/>
    </w:pPr>
    <w:rPr>
      <w:rFonts w:ascii="Times New Roman" w:eastAsia="Times New Roman" w:hAnsi="Times New Roman"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5C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5CB9"/>
  </w:style>
  <w:style w:type="paragraph" w:styleId="Piedepgina">
    <w:name w:val="footer"/>
    <w:basedOn w:val="Normal"/>
    <w:link w:val="PiedepginaCar"/>
    <w:uiPriority w:val="99"/>
    <w:unhideWhenUsed/>
    <w:rsid w:val="003E5C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5CB9"/>
  </w:style>
  <w:style w:type="paragraph" w:styleId="Prrafodelista">
    <w:name w:val="List Paragraph"/>
    <w:basedOn w:val="Normal"/>
    <w:uiPriority w:val="34"/>
    <w:qFormat/>
    <w:rsid w:val="00BE2D53"/>
    <w:pPr>
      <w:ind w:left="720"/>
      <w:contextualSpacing/>
    </w:pPr>
    <w:rPr>
      <w:rFonts w:eastAsia="SimSun"/>
    </w:rPr>
  </w:style>
  <w:style w:type="character" w:customStyle="1" w:styleId="Ttulo2Car">
    <w:name w:val="Título 2 Car"/>
    <w:basedOn w:val="Fuentedeprrafopredeter"/>
    <w:link w:val="Ttulo2"/>
    <w:uiPriority w:val="99"/>
    <w:rsid w:val="00944900"/>
    <w:rPr>
      <w:rFonts w:ascii="Times New Roman" w:eastAsia="Times New Roman" w:hAnsi="Times New Roman" w:cs="Times New Roman"/>
      <w:b/>
      <w:sz w:val="20"/>
      <w:szCs w:val="20"/>
      <w:lang w:val="es-ES_tradnl" w:eastAsia="es-ES"/>
    </w:rPr>
  </w:style>
  <w:style w:type="paragraph" w:styleId="Textoindependiente">
    <w:name w:val="Body Text"/>
    <w:basedOn w:val="Normal"/>
    <w:link w:val="TextoindependienteCar"/>
    <w:uiPriority w:val="99"/>
    <w:rsid w:val="00944900"/>
    <w:pPr>
      <w:autoSpaceDE w:val="0"/>
      <w:autoSpaceDN w:val="0"/>
      <w:adjustRightInd w:val="0"/>
      <w:spacing w:after="120" w:line="240" w:lineRule="auto"/>
      <w:jc w:val="both"/>
    </w:pPr>
    <w:rPr>
      <w:rFonts w:ascii="Arial" w:eastAsia="Times New Roman" w:hAnsi="Arial" w:cs="Arial"/>
      <w:noProof/>
      <w:color w:val="000000"/>
      <w:sz w:val="24"/>
      <w:szCs w:val="24"/>
      <w:lang w:val="en-US" w:eastAsia="es-ES"/>
    </w:rPr>
  </w:style>
  <w:style w:type="character" w:customStyle="1" w:styleId="TextoindependienteCar">
    <w:name w:val="Texto independiente Car"/>
    <w:basedOn w:val="Fuentedeprrafopredeter"/>
    <w:link w:val="Textoindependiente"/>
    <w:uiPriority w:val="99"/>
    <w:rsid w:val="00944900"/>
    <w:rPr>
      <w:rFonts w:ascii="Arial" w:eastAsia="Times New Roman" w:hAnsi="Arial" w:cs="Arial"/>
      <w:noProof/>
      <w:color w:val="000000"/>
      <w:sz w:val="24"/>
      <w:szCs w:val="24"/>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9"/>
    <w:qFormat/>
    <w:rsid w:val="00944900"/>
    <w:pPr>
      <w:keepNext/>
      <w:spacing w:after="0" w:line="240" w:lineRule="auto"/>
      <w:outlineLvl w:val="1"/>
    </w:pPr>
    <w:rPr>
      <w:rFonts w:ascii="Times New Roman" w:eastAsia="Times New Roman" w:hAnsi="Times New Roman"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5C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5CB9"/>
  </w:style>
  <w:style w:type="paragraph" w:styleId="Piedepgina">
    <w:name w:val="footer"/>
    <w:basedOn w:val="Normal"/>
    <w:link w:val="PiedepginaCar"/>
    <w:uiPriority w:val="99"/>
    <w:unhideWhenUsed/>
    <w:rsid w:val="003E5C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5CB9"/>
  </w:style>
  <w:style w:type="paragraph" w:styleId="Prrafodelista">
    <w:name w:val="List Paragraph"/>
    <w:basedOn w:val="Normal"/>
    <w:uiPriority w:val="34"/>
    <w:qFormat/>
    <w:rsid w:val="00BE2D53"/>
    <w:pPr>
      <w:ind w:left="720"/>
      <w:contextualSpacing/>
    </w:pPr>
    <w:rPr>
      <w:rFonts w:eastAsia="SimSun"/>
    </w:rPr>
  </w:style>
  <w:style w:type="character" w:customStyle="1" w:styleId="Ttulo2Car">
    <w:name w:val="Título 2 Car"/>
    <w:basedOn w:val="Fuentedeprrafopredeter"/>
    <w:link w:val="Ttulo2"/>
    <w:uiPriority w:val="99"/>
    <w:rsid w:val="00944900"/>
    <w:rPr>
      <w:rFonts w:ascii="Times New Roman" w:eastAsia="Times New Roman" w:hAnsi="Times New Roman" w:cs="Times New Roman"/>
      <w:b/>
      <w:sz w:val="20"/>
      <w:szCs w:val="20"/>
      <w:lang w:val="es-ES_tradnl" w:eastAsia="es-ES"/>
    </w:rPr>
  </w:style>
  <w:style w:type="paragraph" w:styleId="Textoindependiente">
    <w:name w:val="Body Text"/>
    <w:basedOn w:val="Normal"/>
    <w:link w:val="TextoindependienteCar"/>
    <w:uiPriority w:val="99"/>
    <w:rsid w:val="00944900"/>
    <w:pPr>
      <w:autoSpaceDE w:val="0"/>
      <w:autoSpaceDN w:val="0"/>
      <w:adjustRightInd w:val="0"/>
      <w:spacing w:after="120" w:line="240" w:lineRule="auto"/>
      <w:jc w:val="both"/>
    </w:pPr>
    <w:rPr>
      <w:rFonts w:ascii="Arial" w:eastAsia="Times New Roman" w:hAnsi="Arial" w:cs="Arial"/>
      <w:noProof/>
      <w:color w:val="000000"/>
      <w:sz w:val="24"/>
      <w:szCs w:val="24"/>
      <w:lang w:val="en-US" w:eastAsia="es-ES"/>
    </w:rPr>
  </w:style>
  <w:style w:type="character" w:customStyle="1" w:styleId="TextoindependienteCar">
    <w:name w:val="Texto independiente Car"/>
    <w:basedOn w:val="Fuentedeprrafopredeter"/>
    <w:link w:val="Textoindependiente"/>
    <w:uiPriority w:val="99"/>
    <w:rsid w:val="00944900"/>
    <w:rPr>
      <w:rFonts w:ascii="Arial" w:eastAsia="Times New Roman" w:hAnsi="Arial" w:cs="Arial"/>
      <w:noProof/>
      <w:color w:val="000000"/>
      <w:sz w:val="24"/>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3482</Words>
  <Characters>19157</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Ballesteros</dc:creator>
  <cp:lastModifiedBy>Maite Delamo del Castillo</cp:lastModifiedBy>
  <cp:revision>3</cp:revision>
  <cp:lastPrinted>2021-06-03T11:55:00Z</cp:lastPrinted>
  <dcterms:created xsi:type="dcterms:W3CDTF">2021-06-03T11:54:00Z</dcterms:created>
  <dcterms:modified xsi:type="dcterms:W3CDTF">2021-06-03T11:55:00Z</dcterms:modified>
</cp:coreProperties>
</file>