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5E0" w:rsidRPr="007915E0" w:rsidRDefault="007915E0" w:rsidP="007915E0">
      <w:pPr>
        <w:spacing w:after="0" w:line="240" w:lineRule="atLeast"/>
        <w:jc w:val="both"/>
        <w:textAlignment w:val="baseline"/>
        <w:outlineLvl w:val="4"/>
        <w:rPr>
          <w:rFonts w:ascii="Arial" w:eastAsia="Times New Roman" w:hAnsi="Arial" w:cs="Arial"/>
          <w:b/>
          <w:color w:val="333333"/>
          <w:sz w:val="24"/>
          <w:szCs w:val="24"/>
          <w:lang w:eastAsia="es-ES"/>
        </w:rPr>
      </w:pPr>
      <w:r w:rsidRPr="007915E0">
        <w:rPr>
          <w:rFonts w:ascii="Arial" w:eastAsia="Times New Roman" w:hAnsi="Arial" w:cs="Arial"/>
          <w:b/>
          <w:color w:val="333333"/>
          <w:sz w:val="24"/>
          <w:szCs w:val="24"/>
          <w:lang w:eastAsia="es-ES"/>
        </w:rPr>
        <w:t>Información General</w:t>
      </w:r>
    </w:p>
    <w:p w:rsidR="007915E0" w:rsidRPr="007915E0" w:rsidRDefault="007915E0" w:rsidP="007915E0">
      <w:pPr>
        <w:spacing w:after="0" w:line="240" w:lineRule="auto"/>
        <w:jc w:val="both"/>
        <w:textAlignment w:val="baseline"/>
        <w:rPr>
          <w:rFonts w:ascii="Arial" w:eastAsia="Times New Roman" w:hAnsi="Arial" w:cs="Arial"/>
          <w:color w:val="666666"/>
          <w:sz w:val="20"/>
          <w:szCs w:val="20"/>
          <w:lang w:eastAsia="es-ES"/>
        </w:rPr>
      </w:pPr>
    </w:p>
    <w:p w:rsidR="007915E0" w:rsidRPr="007915E0" w:rsidRDefault="007915E0" w:rsidP="007915E0">
      <w:pPr>
        <w:spacing w:after="0" w:line="240" w:lineRule="auto"/>
        <w:jc w:val="both"/>
        <w:textAlignment w:val="baseline"/>
        <w:rPr>
          <w:rFonts w:ascii="Arial" w:eastAsia="Times New Roman" w:hAnsi="Arial" w:cs="Arial"/>
          <w:color w:val="666666"/>
          <w:sz w:val="20"/>
          <w:szCs w:val="20"/>
          <w:lang w:eastAsia="es-ES"/>
        </w:rPr>
      </w:pPr>
      <w:bookmarkStart w:id="0" w:name="_GoBack"/>
      <w:bookmarkEnd w:id="0"/>
      <w:r w:rsidRPr="007915E0">
        <w:rPr>
          <w:rFonts w:ascii="Arial" w:eastAsia="Times New Roman" w:hAnsi="Arial" w:cs="Arial"/>
          <w:color w:val="666666"/>
          <w:sz w:val="20"/>
          <w:szCs w:val="20"/>
          <w:lang w:eastAsia="es-ES"/>
        </w:rPr>
        <w:t xml:space="preserve">Instituto Tecnológico y de Telecomunicaciones de Tenerife, SL. con número de CIF B38982310, se constituyó el 20 de Abril de 2009, mediante escritura autorizada por el Notario Doña María </w:t>
      </w:r>
      <w:proofErr w:type="spellStart"/>
      <w:r w:rsidRPr="007915E0">
        <w:rPr>
          <w:rFonts w:ascii="Arial" w:eastAsia="Times New Roman" w:hAnsi="Arial" w:cs="Arial"/>
          <w:color w:val="666666"/>
          <w:sz w:val="20"/>
          <w:szCs w:val="20"/>
          <w:lang w:eastAsia="es-ES"/>
        </w:rPr>
        <w:t>Abia</w:t>
      </w:r>
      <w:proofErr w:type="spellEnd"/>
      <w:r w:rsidRPr="007915E0">
        <w:rPr>
          <w:rFonts w:ascii="Arial" w:eastAsia="Times New Roman" w:hAnsi="Arial" w:cs="Arial"/>
          <w:color w:val="666666"/>
          <w:sz w:val="20"/>
          <w:szCs w:val="20"/>
          <w:lang w:eastAsia="es-ES"/>
        </w:rPr>
        <w:t xml:space="preserve"> Rodríguez, inscrita en el Registro Mercantil de Santa Cruz de Tenerife en el tomo 3.101 folio 177, hoja número TF-46091, inscripción primera.</w:t>
      </w:r>
    </w:p>
    <w:p w:rsidR="007915E0" w:rsidRPr="007915E0" w:rsidRDefault="007915E0" w:rsidP="007915E0">
      <w:pPr>
        <w:spacing w:after="0" w:line="240" w:lineRule="auto"/>
        <w:jc w:val="both"/>
        <w:textAlignment w:val="baseline"/>
        <w:rPr>
          <w:rFonts w:ascii="Arial" w:eastAsia="Times New Roman" w:hAnsi="Arial" w:cs="Arial"/>
          <w:color w:val="666666"/>
          <w:sz w:val="20"/>
          <w:szCs w:val="20"/>
          <w:lang w:eastAsia="es-ES"/>
        </w:rPr>
      </w:pPr>
    </w:p>
    <w:p w:rsidR="007915E0" w:rsidRPr="007915E0" w:rsidRDefault="007915E0" w:rsidP="007915E0">
      <w:pPr>
        <w:spacing w:after="0" w:line="240" w:lineRule="auto"/>
        <w:jc w:val="both"/>
        <w:textAlignment w:val="baseline"/>
        <w:rPr>
          <w:rFonts w:ascii="Arial" w:eastAsia="Times New Roman" w:hAnsi="Arial" w:cs="Arial"/>
          <w:color w:val="666666"/>
          <w:sz w:val="20"/>
          <w:szCs w:val="20"/>
          <w:lang w:eastAsia="es-ES"/>
        </w:rPr>
      </w:pPr>
      <w:r w:rsidRPr="007915E0">
        <w:rPr>
          <w:rFonts w:ascii="Arial" w:eastAsia="Times New Roman" w:hAnsi="Arial" w:cs="Arial"/>
          <w:color w:val="666666"/>
          <w:sz w:val="20"/>
          <w:szCs w:val="20"/>
          <w:lang w:eastAsia="es-ES"/>
        </w:rPr>
        <w:t>Se crea en la estrategia del Cabildo para promover la diversificación económica y la mejora de la competitividad de las empresas de la Isla, promoviendo la conectividad, tanto dentro de la Isla como con el exterior. Esta mejora permitirá una mejor implantación de servicios de banda ancha y un abaratamiento de los costes de los mismo y que las operadoras de telecomunicación puedan ofrecer una oferta competitiva.</w:t>
      </w:r>
    </w:p>
    <w:p w:rsidR="007915E0" w:rsidRPr="007915E0" w:rsidRDefault="007915E0" w:rsidP="007915E0">
      <w:pPr>
        <w:spacing w:after="0" w:line="240" w:lineRule="auto"/>
        <w:jc w:val="both"/>
        <w:textAlignment w:val="baseline"/>
        <w:rPr>
          <w:rFonts w:ascii="Arial" w:eastAsia="Times New Roman" w:hAnsi="Arial" w:cs="Arial"/>
          <w:color w:val="666666"/>
          <w:sz w:val="20"/>
          <w:szCs w:val="20"/>
          <w:lang w:eastAsia="es-ES"/>
        </w:rPr>
      </w:pPr>
    </w:p>
    <w:p w:rsidR="007915E0" w:rsidRPr="007915E0" w:rsidRDefault="007915E0" w:rsidP="007915E0">
      <w:pPr>
        <w:spacing w:after="0" w:line="240" w:lineRule="auto"/>
        <w:jc w:val="both"/>
        <w:textAlignment w:val="baseline"/>
        <w:rPr>
          <w:rFonts w:ascii="Arial" w:eastAsia="Times New Roman" w:hAnsi="Arial" w:cs="Arial"/>
          <w:color w:val="666666"/>
          <w:sz w:val="20"/>
          <w:szCs w:val="20"/>
          <w:lang w:eastAsia="es-ES"/>
        </w:rPr>
      </w:pPr>
      <w:r w:rsidRPr="007915E0">
        <w:rPr>
          <w:rFonts w:ascii="Arial" w:eastAsia="Times New Roman" w:hAnsi="Arial" w:cs="Arial"/>
          <w:color w:val="666666"/>
          <w:sz w:val="20"/>
          <w:szCs w:val="20"/>
          <w:lang w:eastAsia="es-ES"/>
        </w:rPr>
        <w:t>Asimismo, una mejora en la conectividad hacia y desde la isla con el exterior, especialmente con Europa y África, que permite que infraestructuras como el NAP, puedan servir de base para el establecimiento de empresas que quieran proveer servicios en estos continentes.</w:t>
      </w:r>
    </w:p>
    <w:p w:rsidR="007915E0" w:rsidRPr="007915E0" w:rsidRDefault="007915E0" w:rsidP="007915E0">
      <w:pPr>
        <w:spacing w:after="0" w:line="240" w:lineRule="auto"/>
        <w:jc w:val="both"/>
        <w:textAlignment w:val="baseline"/>
        <w:rPr>
          <w:rFonts w:ascii="Arial" w:eastAsia="Times New Roman" w:hAnsi="Arial" w:cs="Arial"/>
          <w:color w:val="666666"/>
          <w:sz w:val="20"/>
          <w:szCs w:val="20"/>
          <w:lang w:eastAsia="es-ES"/>
        </w:rPr>
      </w:pPr>
    </w:p>
    <w:p w:rsidR="007915E0" w:rsidRPr="007915E0" w:rsidRDefault="007915E0" w:rsidP="007915E0">
      <w:pPr>
        <w:spacing w:after="0" w:line="240" w:lineRule="auto"/>
        <w:jc w:val="both"/>
        <w:textAlignment w:val="baseline"/>
        <w:rPr>
          <w:rFonts w:ascii="Arial" w:eastAsia="Times New Roman" w:hAnsi="Arial" w:cs="Arial"/>
          <w:color w:val="666666"/>
          <w:sz w:val="20"/>
          <w:szCs w:val="20"/>
          <w:lang w:eastAsia="es-ES"/>
        </w:rPr>
      </w:pPr>
      <w:r w:rsidRPr="007915E0">
        <w:rPr>
          <w:rFonts w:ascii="Arial" w:eastAsia="Times New Roman" w:hAnsi="Arial" w:cs="Arial"/>
          <w:color w:val="666666"/>
          <w:sz w:val="20"/>
          <w:szCs w:val="20"/>
          <w:lang w:eastAsia="es-ES"/>
        </w:rPr>
        <w:t>Son objeto de su actividad el fomento de la libre competencia en el ámbito del mercado de redes y servicios de telecomunicaciones en la Isla de Tenerife, Islas Canarias y África Occidental. Y el desarrollo de la calidad de los servicios de telecomunicaciones y servicios de valor añadido prestados sobre redes de telecomunicaciones en la Isla de Tenerife, Islas Canarias y África Occidental.</w:t>
      </w:r>
    </w:p>
    <w:p w:rsidR="007915E0" w:rsidRPr="007915E0" w:rsidRDefault="007915E0" w:rsidP="007915E0">
      <w:pPr>
        <w:spacing w:after="0" w:line="240" w:lineRule="auto"/>
        <w:jc w:val="both"/>
        <w:textAlignment w:val="baseline"/>
        <w:rPr>
          <w:rFonts w:ascii="Arial" w:eastAsia="Times New Roman" w:hAnsi="Arial" w:cs="Arial"/>
          <w:color w:val="666666"/>
          <w:sz w:val="20"/>
          <w:szCs w:val="20"/>
          <w:lang w:eastAsia="es-ES"/>
        </w:rPr>
      </w:pPr>
    </w:p>
    <w:p w:rsidR="007915E0" w:rsidRPr="007915E0" w:rsidRDefault="007915E0" w:rsidP="007915E0">
      <w:pPr>
        <w:spacing w:after="0" w:line="240" w:lineRule="auto"/>
        <w:jc w:val="both"/>
        <w:textAlignment w:val="baseline"/>
        <w:rPr>
          <w:rFonts w:ascii="Arial" w:eastAsia="Times New Roman" w:hAnsi="Arial" w:cs="Arial"/>
          <w:color w:val="666666"/>
          <w:sz w:val="20"/>
          <w:szCs w:val="20"/>
          <w:lang w:eastAsia="es-ES"/>
        </w:rPr>
      </w:pPr>
      <w:r w:rsidRPr="007915E0">
        <w:rPr>
          <w:rFonts w:ascii="Arial" w:eastAsia="Times New Roman" w:hAnsi="Arial" w:cs="Arial"/>
          <w:color w:val="666666"/>
          <w:sz w:val="20"/>
          <w:szCs w:val="20"/>
          <w:lang w:eastAsia="es-ES"/>
        </w:rPr>
        <w:t>En este sentido se han identificado dos proyectos de especial interés:</w:t>
      </w:r>
    </w:p>
    <w:p w:rsidR="007915E0" w:rsidRPr="007915E0" w:rsidRDefault="007915E0" w:rsidP="007915E0">
      <w:pPr>
        <w:spacing w:after="0" w:line="240" w:lineRule="auto"/>
        <w:jc w:val="both"/>
        <w:textAlignment w:val="baseline"/>
        <w:rPr>
          <w:rFonts w:ascii="Arial" w:eastAsia="Times New Roman" w:hAnsi="Arial" w:cs="Arial"/>
          <w:color w:val="666666"/>
          <w:sz w:val="20"/>
          <w:szCs w:val="20"/>
          <w:lang w:eastAsia="es-ES"/>
        </w:rPr>
      </w:pPr>
    </w:p>
    <w:p w:rsidR="007915E0" w:rsidRPr="007915E0" w:rsidRDefault="007915E0" w:rsidP="007915E0">
      <w:pPr>
        <w:pStyle w:val="Prrafodelista"/>
        <w:numPr>
          <w:ilvl w:val="0"/>
          <w:numId w:val="5"/>
        </w:numPr>
        <w:spacing w:after="0" w:line="240" w:lineRule="auto"/>
        <w:jc w:val="both"/>
        <w:textAlignment w:val="baseline"/>
        <w:rPr>
          <w:rFonts w:ascii="Arial" w:eastAsia="Times New Roman" w:hAnsi="Arial" w:cs="Arial"/>
          <w:color w:val="666666"/>
          <w:sz w:val="20"/>
          <w:szCs w:val="20"/>
          <w:lang w:eastAsia="es-ES"/>
        </w:rPr>
      </w:pPr>
      <w:r w:rsidRPr="007915E0">
        <w:rPr>
          <w:rFonts w:ascii="Arial" w:eastAsia="Times New Roman" w:hAnsi="Arial" w:cs="Arial"/>
          <w:color w:val="666666"/>
          <w:sz w:val="20"/>
          <w:szCs w:val="20"/>
          <w:lang w:eastAsia="es-ES"/>
        </w:rPr>
        <w:t>Un proyecto de cable submarino que bordea la Costa de África Occidental, con amarres en diferentes países africanos y que continúa hasta el continente europeo, promovido por la empresa </w:t>
      </w:r>
      <w:proofErr w:type="spellStart"/>
      <w:r w:rsidRPr="007915E0">
        <w:rPr>
          <w:rFonts w:ascii="Arial" w:eastAsia="Times New Roman" w:hAnsi="Arial" w:cs="Arial"/>
          <w:i/>
          <w:iCs/>
          <w:color w:val="666666"/>
          <w:sz w:val="20"/>
          <w:szCs w:val="20"/>
          <w:bdr w:val="none" w:sz="0" w:space="0" w:color="auto" w:frame="1"/>
          <w:lang w:eastAsia="es-ES"/>
        </w:rPr>
        <w:t>Main</w:t>
      </w:r>
      <w:proofErr w:type="spellEnd"/>
      <w:r w:rsidRPr="007915E0">
        <w:rPr>
          <w:rFonts w:ascii="Arial" w:eastAsia="Times New Roman" w:hAnsi="Arial" w:cs="Arial"/>
          <w:i/>
          <w:iCs/>
          <w:color w:val="666666"/>
          <w:sz w:val="20"/>
          <w:szCs w:val="20"/>
          <w:bdr w:val="none" w:sz="0" w:space="0" w:color="auto" w:frame="1"/>
          <w:lang w:eastAsia="es-ES"/>
        </w:rPr>
        <w:t xml:space="preserve"> Street Technologies</w:t>
      </w:r>
      <w:r w:rsidRPr="007915E0">
        <w:rPr>
          <w:rFonts w:ascii="Arial" w:eastAsia="Times New Roman" w:hAnsi="Arial" w:cs="Arial"/>
          <w:color w:val="666666"/>
          <w:sz w:val="20"/>
          <w:szCs w:val="20"/>
          <w:lang w:eastAsia="es-ES"/>
        </w:rPr>
        <w:t>.</w:t>
      </w:r>
    </w:p>
    <w:p w:rsidR="007915E0" w:rsidRPr="007915E0" w:rsidRDefault="007915E0" w:rsidP="007915E0">
      <w:pPr>
        <w:spacing w:after="0" w:line="240" w:lineRule="auto"/>
        <w:jc w:val="both"/>
        <w:textAlignment w:val="baseline"/>
        <w:rPr>
          <w:rFonts w:ascii="Arial" w:eastAsia="Times New Roman" w:hAnsi="Arial" w:cs="Arial"/>
          <w:color w:val="666666"/>
          <w:sz w:val="20"/>
          <w:szCs w:val="20"/>
          <w:lang w:eastAsia="es-ES"/>
        </w:rPr>
      </w:pPr>
    </w:p>
    <w:p w:rsidR="007915E0" w:rsidRPr="007915E0" w:rsidRDefault="007915E0" w:rsidP="007915E0">
      <w:pPr>
        <w:pStyle w:val="Prrafodelista"/>
        <w:numPr>
          <w:ilvl w:val="0"/>
          <w:numId w:val="5"/>
        </w:numPr>
        <w:spacing w:after="0" w:line="240" w:lineRule="auto"/>
        <w:jc w:val="both"/>
        <w:textAlignment w:val="baseline"/>
        <w:rPr>
          <w:rFonts w:ascii="Arial" w:eastAsia="Times New Roman" w:hAnsi="Arial" w:cs="Arial"/>
          <w:color w:val="666666"/>
          <w:sz w:val="20"/>
          <w:szCs w:val="20"/>
          <w:lang w:eastAsia="es-ES"/>
        </w:rPr>
      </w:pPr>
      <w:r w:rsidRPr="007915E0">
        <w:rPr>
          <w:rFonts w:ascii="Arial" w:eastAsia="Times New Roman" w:hAnsi="Arial" w:cs="Arial"/>
          <w:color w:val="666666"/>
          <w:sz w:val="20"/>
          <w:szCs w:val="20"/>
          <w:lang w:eastAsia="es-ES"/>
        </w:rPr>
        <w:t xml:space="preserve">Un proyecto de cable entre Canarias (Tenerife) y la Península Ibérica, promovido por la empresa </w:t>
      </w:r>
      <w:proofErr w:type="spellStart"/>
      <w:r w:rsidRPr="007915E0">
        <w:rPr>
          <w:rFonts w:ascii="Arial" w:eastAsia="Times New Roman" w:hAnsi="Arial" w:cs="Arial"/>
          <w:color w:val="666666"/>
          <w:sz w:val="20"/>
          <w:szCs w:val="20"/>
          <w:lang w:eastAsia="es-ES"/>
        </w:rPr>
        <w:t>Canalink</w:t>
      </w:r>
      <w:proofErr w:type="spellEnd"/>
      <w:r w:rsidRPr="007915E0">
        <w:rPr>
          <w:rFonts w:ascii="Arial" w:eastAsia="Times New Roman" w:hAnsi="Arial" w:cs="Arial"/>
          <w:color w:val="666666"/>
          <w:sz w:val="20"/>
          <w:szCs w:val="20"/>
          <w:lang w:eastAsia="es-ES"/>
        </w:rPr>
        <w:t xml:space="preserve"> S.L.U.</w:t>
      </w:r>
    </w:p>
    <w:p w:rsidR="007915E0" w:rsidRPr="007915E0" w:rsidRDefault="007915E0" w:rsidP="007915E0">
      <w:pPr>
        <w:spacing w:after="0" w:line="390" w:lineRule="atLeast"/>
        <w:jc w:val="both"/>
        <w:textAlignment w:val="baseline"/>
        <w:rPr>
          <w:rFonts w:ascii="Arial" w:eastAsia="Times New Roman" w:hAnsi="Arial" w:cs="Arial"/>
          <w:color w:val="666666"/>
          <w:sz w:val="20"/>
          <w:szCs w:val="20"/>
          <w:lang w:eastAsia="es-ES"/>
        </w:rPr>
      </w:pPr>
    </w:p>
    <w:p w:rsidR="007915E0" w:rsidRPr="007915E0" w:rsidRDefault="007915E0" w:rsidP="007915E0">
      <w:pPr>
        <w:spacing w:after="0" w:line="240" w:lineRule="auto"/>
        <w:jc w:val="both"/>
        <w:textAlignment w:val="baseline"/>
        <w:rPr>
          <w:rFonts w:ascii="Arial" w:eastAsia="Times New Roman" w:hAnsi="Arial" w:cs="Arial"/>
          <w:color w:val="666666"/>
          <w:sz w:val="20"/>
          <w:szCs w:val="20"/>
          <w:lang w:eastAsia="es-ES"/>
        </w:rPr>
      </w:pPr>
      <w:r w:rsidRPr="007915E0">
        <w:rPr>
          <w:rFonts w:ascii="Arial" w:eastAsia="Times New Roman" w:hAnsi="Arial" w:cs="Arial"/>
          <w:color w:val="666666"/>
          <w:sz w:val="20"/>
          <w:szCs w:val="20"/>
          <w:lang w:eastAsia="es-ES"/>
        </w:rPr>
        <w:t>La información del grupo de sociedades en los términos previstos en el artículo 42 del Código de Comercio, es la siguiente:</w:t>
      </w:r>
    </w:p>
    <w:p w:rsidR="007915E0" w:rsidRPr="007915E0" w:rsidRDefault="007915E0" w:rsidP="007915E0">
      <w:pPr>
        <w:spacing w:after="0" w:line="240" w:lineRule="auto"/>
        <w:jc w:val="both"/>
        <w:textAlignment w:val="baseline"/>
        <w:rPr>
          <w:rFonts w:ascii="Arial" w:eastAsia="Times New Roman" w:hAnsi="Arial" w:cs="Arial"/>
          <w:color w:val="666666"/>
          <w:sz w:val="20"/>
          <w:szCs w:val="20"/>
          <w:lang w:eastAsia="es-ES"/>
        </w:rPr>
      </w:pPr>
    </w:p>
    <w:p w:rsidR="007915E0" w:rsidRPr="007915E0" w:rsidRDefault="007915E0" w:rsidP="007915E0">
      <w:pPr>
        <w:pStyle w:val="Prrafodelista"/>
        <w:numPr>
          <w:ilvl w:val="0"/>
          <w:numId w:val="6"/>
        </w:numPr>
        <w:spacing w:after="0" w:line="240" w:lineRule="auto"/>
        <w:ind w:left="714" w:hanging="357"/>
        <w:jc w:val="both"/>
        <w:textAlignment w:val="baseline"/>
        <w:rPr>
          <w:rFonts w:ascii="Arial" w:eastAsia="Times New Roman" w:hAnsi="Arial" w:cs="Arial"/>
          <w:color w:val="666666"/>
          <w:sz w:val="20"/>
          <w:szCs w:val="20"/>
          <w:lang w:eastAsia="es-ES"/>
        </w:rPr>
      </w:pPr>
      <w:r w:rsidRPr="007915E0">
        <w:rPr>
          <w:rFonts w:ascii="Arial" w:eastAsia="Times New Roman" w:hAnsi="Arial" w:cs="Arial"/>
          <w:color w:val="666666"/>
          <w:sz w:val="20"/>
          <w:szCs w:val="20"/>
          <w:lang w:eastAsia="es-ES"/>
        </w:rPr>
        <w:t>Sociedad dominante: Instituto Tecnológico y de Energías Renovables, SA, con domicilio en el Polígono Industrial de Granadilla s/n, 38600 San Isidro- Granadilla de Abona, provincia de Santa Cruz de Tenerife.</w:t>
      </w:r>
    </w:p>
    <w:p w:rsidR="007915E0" w:rsidRPr="007915E0" w:rsidRDefault="007915E0" w:rsidP="007915E0">
      <w:pPr>
        <w:spacing w:after="0" w:line="390" w:lineRule="atLeast"/>
        <w:jc w:val="both"/>
        <w:textAlignment w:val="baseline"/>
        <w:rPr>
          <w:rFonts w:ascii="Arial" w:eastAsia="Times New Roman" w:hAnsi="Arial" w:cs="Arial"/>
          <w:color w:val="666666"/>
          <w:sz w:val="20"/>
          <w:szCs w:val="20"/>
          <w:lang w:eastAsia="es-ES"/>
        </w:rPr>
      </w:pPr>
    </w:p>
    <w:p w:rsidR="007915E0" w:rsidRPr="007915E0" w:rsidRDefault="007915E0" w:rsidP="007915E0">
      <w:pPr>
        <w:spacing w:after="0" w:line="240" w:lineRule="auto"/>
        <w:jc w:val="both"/>
        <w:textAlignment w:val="baseline"/>
        <w:rPr>
          <w:rFonts w:ascii="Arial" w:eastAsia="Times New Roman" w:hAnsi="Arial" w:cs="Arial"/>
          <w:color w:val="666666"/>
          <w:sz w:val="20"/>
          <w:szCs w:val="20"/>
          <w:lang w:eastAsia="es-ES"/>
        </w:rPr>
      </w:pPr>
      <w:r w:rsidRPr="007915E0">
        <w:rPr>
          <w:rFonts w:ascii="Arial" w:eastAsia="Times New Roman" w:hAnsi="Arial" w:cs="Arial"/>
          <w:color w:val="666666"/>
          <w:sz w:val="20"/>
          <w:szCs w:val="20"/>
          <w:lang w:eastAsia="es-ES"/>
        </w:rPr>
        <w:t>Instituto Tecnológico y de Telecomunicaciones de Tenerife, SL forma parte del perímetro de consolidación del Instituto Tecnológico y de Energías Renovables S.A., que al cierre del ejercicio poseía el 100% de las participaciones. Se integra en la consolidación de esta Sociedad bajo el método de integración global.</w:t>
      </w:r>
    </w:p>
    <w:p w:rsidR="007915E0" w:rsidRPr="007915E0" w:rsidRDefault="007915E0" w:rsidP="007915E0">
      <w:pPr>
        <w:spacing w:after="0" w:line="240" w:lineRule="auto"/>
        <w:jc w:val="both"/>
        <w:textAlignment w:val="baseline"/>
        <w:rPr>
          <w:rFonts w:ascii="Arial" w:eastAsia="Times New Roman" w:hAnsi="Arial" w:cs="Arial"/>
          <w:color w:val="666666"/>
          <w:sz w:val="20"/>
          <w:szCs w:val="20"/>
          <w:lang w:eastAsia="es-ES"/>
        </w:rPr>
      </w:pPr>
    </w:p>
    <w:p w:rsidR="007915E0" w:rsidRDefault="007915E0" w:rsidP="007915E0">
      <w:pPr>
        <w:spacing w:after="0" w:line="240" w:lineRule="auto"/>
        <w:textAlignment w:val="baseline"/>
        <w:rPr>
          <w:rFonts w:ascii="Arial" w:eastAsia="Times New Roman" w:hAnsi="Arial" w:cs="Arial"/>
          <w:color w:val="666666"/>
          <w:sz w:val="21"/>
          <w:szCs w:val="21"/>
          <w:lang w:eastAsia="es-ES"/>
        </w:rPr>
      </w:pPr>
    </w:p>
    <w:p w:rsidR="007915E0" w:rsidRPr="00881D24" w:rsidRDefault="007915E0" w:rsidP="007915E0">
      <w:pPr>
        <w:spacing w:after="0" w:line="240" w:lineRule="auto"/>
        <w:textAlignment w:val="baseline"/>
        <w:rPr>
          <w:rFonts w:ascii="Arial" w:eastAsia="Times New Roman" w:hAnsi="Arial" w:cs="Arial"/>
          <w:color w:val="666666"/>
          <w:sz w:val="21"/>
          <w:szCs w:val="21"/>
          <w:lang w:eastAsia="es-ES"/>
        </w:rPr>
      </w:pPr>
      <w:r w:rsidRPr="00881D24">
        <w:rPr>
          <w:rFonts w:ascii="Arial" w:eastAsia="Times New Roman" w:hAnsi="Arial" w:cs="Arial"/>
          <w:color w:val="666666"/>
          <w:sz w:val="21"/>
          <w:szCs w:val="21"/>
          <w:lang w:eastAsia="es-ES"/>
        </w:rPr>
        <w:t>Su domicilio social se encuentra establecido en el Polígono Industrial de Granadilla, s/n Granadilla de Abona, Tenerife.</w:t>
      </w:r>
    </w:p>
    <w:p w:rsidR="00C579AF" w:rsidRPr="00575B97" w:rsidRDefault="00C579AF" w:rsidP="00575B97"/>
    <w:sectPr w:rsidR="00C579AF" w:rsidRPr="00575B97" w:rsidSect="00AD0AF9">
      <w:headerReference w:type="default" r:id="rId8"/>
      <w:pgSz w:w="11900" w:h="16840"/>
      <w:pgMar w:top="2835" w:right="1701" w:bottom="2268" w:left="1701"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A1F" w:rsidRDefault="00C21A1F" w:rsidP="003E5CB9">
      <w:pPr>
        <w:spacing w:after="0" w:line="240" w:lineRule="auto"/>
      </w:pPr>
      <w:r>
        <w:separator/>
      </w:r>
    </w:p>
  </w:endnote>
  <w:endnote w:type="continuationSeparator" w:id="0">
    <w:p w:rsidR="00C21A1F" w:rsidRDefault="00C21A1F" w:rsidP="003E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A1F" w:rsidRDefault="00C21A1F" w:rsidP="003E5CB9">
      <w:pPr>
        <w:spacing w:after="0" w:line="240" w:lineRule="auto"/>
      </w:pPr>
      <w:r>
        <w:separator/>
      </w:r>
    </w:p>
  </w:footnote>
  <w:footnote w:type="continuationSeparator" w:id="0">
    <w:p w:rsidR="00C21A1F" w:rsidRDefault="00C21A1F" w:rsidP="003E5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B9" w:rsidRDefault="003E5CB9" w:rsidP="00442319">
    <w:pPr>
      <w:pStyle w:val="Encabezado"/>
    </w:pPr>
  </w:p>
  <w:p w:rsidR="00442319" w:rsidRDefault="00442319" w:rsidP="00442319">
    <w:pPr>
      <w:pStyle w:val="Encabezado"/>
    </w:pPr>
  </w:p>
  <w:p w:rsidR="00442319" w:rsidRPr="00442319" w:rsidRDefault="00E30F86" w:rsidP="00AD0AF9">
    <w:pPr>
      <w:pStyle w:val="Encabezado"/>
      <w:tabs>
        <w:tab w:val="clear" w:pos="4252"/>
        <w:tab w:val="clear" w:pos="8504"/>
        <w:tab w:val="left" w:pos="6525"/>
      </w:tabs>
    </w:pPr>
    <w:r>
      <w:rPr>
        <w:noProof/>
        <w:lang w:eastAsia="es-ES"/>
      </w:rPr>
      <w:drawing>
        <wp:anchor distT="0" distB="0" distL="114300" distR="114300" simplePos="0" relativeHeight="251658240" behindDoc="0" locked="0" layoutInCell="1" allowOverlap="1">
          <wp:simplePos x="0" y="0"/>
          <wp:positionH relativeFrom="column">
            <wp:posOffset>4920615</wp:posOffset>
          </wp:positionH>
          <wp:positionV relativeFrom="paragraph">
            <wp:posOffset>259715</wp:posOffset>
          </wp:positionV>
          <wp:extent cx="523875" cy="647065"/>
          <wp:effectExtent l="0" t="0" r="9525" b="63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47065"/>
                  </a:xfrm>
                  <a:prstGeom prst="rect">
                    <a:avLst/>
                  </a:prstGeom>
                  <a:noFill/>
                </pic:spPr>
              </pic:pic>
            </a:graphicData>
          </a:graphic>
        </wp:anchor>
      </w:drawing>
    </w:r>
    <w:r>
      <w:rPr>
        <w:noProof/>
        <w:lang w:eastAsia="es-ES"/>
      </w:rPr>
      <w:drawing>
        <wp:anchor distT="0" distB="0" distL="114300" distR="114300" simplePos="0" relativeHeight="251659264" behindDoc="0" locked="0" layoutInCell="1" allowOverlap="1">
          <wp:simplePos x="0" y="0"/>
          <wp:positionH relativeFrom="column">
            <wp:posOffset>-60960</wp:posOffset>
          </wp:positionH>
          <wp:positionV relativeFrom="paragraph">
            <wp:posOffset>201931</wp:posOffset>
          </wp:positionV>
          <wp:extent cx="428625" cy="705326"/>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608" cy="725045"/>
                  </a:xfrm>
                  <a:prstGeom prst="rect">
                    <a:avLst/>
                  </a:prstGeom>
                  <a:noFill/>
                </pic:spPr>
              </pic:pic>
            </a:graphicData>
          </a:graphic>
          <wp14:sizeRelH relativeFrom="margin">
            <wp14:pctWidth>0</wp14:pctWidth>
          </wp14:sizeRelH>
          <wp14:sizeRelV relativeFrom="margin">
            <wp14:pctHeight>0</wp14:pctHeight>
          </wp14:sizeRelV>
        </wp:anchor>
      </w:drawing>
    </w:r>
    <w:r w:rsidR="00AD0AF9">
      <w:tab/>
    </w:r>
    <w:r w:rsidR="00AD0A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664C"/>
    <w:multiLevelType w:val="hybridMultilevel"/>
    <w:tmpl w:val="7D56E5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846F2E"/>
    <w:multiLevelType w:val="hybridMultilevel"/>
    <w:tmpl w:val="7CB22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89C4B05"/>
    <w:multiLevelType w:val="hybridMultilevel"/>
    <w:tmpl w:val="A99078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ABB7E41"/>
    <w:multiLevelType w:val="hybridMultilevel"/>
    <w:tmpl w:val="8C3A05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F772909"/>
    <w:multiLevelType w:val="hybridMultilevel"/>
    <w:tmpl w:val="020E0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A0"/>
    <w:rsid w:val="00054756"/>
    <w:rsid w:val="000C42FC"/>
    <w:rsid w:val="000F56C9"/>
    <w:rsid w:val="0010454F"/>
    <w:rsid w:val="001922A8"/>
    <w:rsid w:val="0019366C"/>
    <w:rsid w:val="00194AD0"/>
    <w:rsid w:val="001A3624"/>
    <w:rsid w:val="001A7DEF"/>
    <w:rsid w:val="00230D99"/>
    <w:rsid w:val="00241115"/>
    <w:rsid w:val="00265F3F"/>
    <w:rsid w:val="002C3558"/>
    <w:rsid w:val="002F6541"/>
    <w:rsid w:val="003063C8"/>
    <w:rsid w:val="0034359A"/>
    <w:rsid w:val="00397C4D"/>
    <w:rsid w:val="003E1B87"/>
    <w:rsid w:val="003E5CB9"/>
    <w:rsid w:val="004311A8"/>
    <w:rsid w:val="00442319"/>
    <w:rsid w:val="00495247"/>
    <w:rsid w:val="005558C3"/>
    <w:rsid w:val="005601A2"/>
    <w:rsid w:val="00575B97"/>
    <w:rsid w:val="005A7055"/>
    <w:rsid w:val="005C4BA5"/>
    <w:rsid w:val="005D3754"/>
    <w:rsid w:val="005E1695"/>
    <w:rsid w:val="005F1B6C"/>
    <w:rsid w:val="0064460C"/>
    <w:rsid w:val="006474CD"/>
    <w:rsid w:val="006D50D5"/>
    <w:rsid w:val="00701963"/>
    <w:rsid w:val="00747268"/>
    <w:rsid w:val="00764756"/>
    <w:rsid w:val="007915E0"/>
    <w:rsid w:val="007A4C65"/>
    <w:rsid w:val="007B51AC"/>
    <w:rsid w:val="007D39EB"/>
    <w:rsid w:val="008129C9"/>
    <w:rsid w:val="00835EFA"/>
    <w:rsid w:val="00865B6B"/>
    <w:rsid w:val="0089488C"/>
    <w:rsid w:val="008E263A"/>
    <w:rsid w:val="008E3568"/>
    <w:rsid w:val="00943A8B"/>
    <w:rsid w:val="00946028"/>
    <w:rsid w:val="009764CA"/>
    <w:rsid w:val="0098193D"/>
    <w:rsid w:val="009E3B2D"/>
    <w:rsid w:val="00A04CE7"/>
    <w:rsid w:val="00A35D3E"/>
    <w:rsid w:val="00A460A3"/>
    <w:rsid w:val="00A6066B"/>
    <w:rsid w:val="00A75DBD"/>
    <w:rsid w:val="00AA46C7"/>
    <w:rsid w:val="00AD0AF9"/>
    <w:rsid w:val="00B707B5"/>
    <w:rsid w:val="00BB5666"/>
    <w:rsid w:val="00BE2D53"/>
    <w:rsid w:val="00C06D60"/>
    <w:rsid w:val="00C21A1F"/>
    <w:rsid w:val="00C224B6"/>
    <w:rsid w:val="00C579AF"/>
    <w:rsid w:val="00C65DF8"/>
    <w:rsid w:val="00CA3EB1"/>
    <w:rsid w:val="00CE4CFC"/>
    <w:rsid w:val="00D6698D"/>
    <w:rsid w:val="00D833BB"/>
    <w:rsid w:val="00DA3D80"/>
    <w:rsid w:val="00DC0C4C"/>
    <w:rsid w:val="00DF1A7A"/>
    <w:rsid w:val="00E02CAA"/>
    <w:rsid w:val="00E30F86"/>
    <w:rsid w:val="00E652A0"/>
    <w:rsid w:val="00E97031"/>
    <w:rsid w:val="00F04E82"/>
    <w:rsid w:val="00F2470A"/>
    <w:rsid w:val="00F34BC2"/>
    <w:rsid w:val="00F51EC1"/>
    <w:rsid w:val="00F77A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5C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5CB9"/>
  </w:style>
  <w:style w:type="paragraph" w:styleId="Piedepgina">
    <w:name w:val="footer"/>
    <w:basedOn w:val="Normal"/>
    <w:link w:val="PiedepginaCar"/>
    <w:uiPriority w:val="99"/>
    <w:unhideWhenUsed/>
    <w:rsid w:val="003E5C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5CB9"/>
  </w:style>
  <w:style w:type="paragraph" w:styleId="Prrafodelista">
    <w:name w:val="List Paragraph"/>
    <w:basedOn w:val="Normal"/>
    <w:uiPriority w:val="34"/>
    <w:qFormat/>
    <w:rsid w:val="00BE2D53"/>
    <w:pPr>
      <w:ind w:left="720"/>
      <w:contextualSpacing/>
    </w:pPr>
    <w:rPr>
      <w:rFonts w:eastAsia="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5C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5CB9"/>
  </w:style>
  <w:style w:type="paragraph" w:styleId="Piedepgina">
    <w:name w:val="footer"/>
    <w:basedOn w:val="Normal"/>
    <w:link w:val="PiedepginaCar"/>
    <w:uiPriority w:val="99"/>
    <w:unhideWhenUsed/>
    <w:rsid w:val="003E5C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5CB9"/>
  </w:style>
  <w:style w:type="paragraph" w:styleId="Prrafodelista">
    <w:name w:val="List Paragraph"/>
    <w:basedOn w:val="Normal"/>
    <w:uiPriority w:val="34"/>
    <w:qFormat/>
    <w:rsid w:val="00BE2D53"/>
    <w:pPr>
      <w:ind w:left="720"/>
      <w:contextualSpacing/>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2204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Ballesteros</dc:creator>
  <cp:lastModifiedBy>Maite Delamo del Castillo</cp:lastModifiedBy>
  <cp:revision>2</cp:revision>
  <cp:lastPrinted>2018-06-11T08:51:00Z</cp:lastPrinted>
  <dcterms:created xsi:type="dcterms:W3CDTF">2022-06-28T10:22:00Z</dcterms:created>
  <dcterms:modified xsi:type="dcterms:W3CDTF">2022-06-28T10:22:00Z</dcterms:modified>
</cp:coreProperties>
</file>