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8A" w:rsidRPr="00CC38C1" w:rsidRDefault="00B4758A" w:rsidP="00B4758A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360" w:after="120" w:line="28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C38C1">
        <w:rPr>
          <w:rFonts w:ascii="Arial" w:hAnsi="Arial" w:cs="Arial"/>
          <w:b/>
          <w:bCs/>
          <w:sz w:val="20"/>
          <w:szCs w:val="20"/>
        </w:rPr>
        <w:t>ACTIVOS FINANCIEROS</w:t>
      </w:r>
    </w:p>
    <w:p w:rsidR="00B4758A" w:rsidRPr="00193752" w:rsidRDefault="00B4758A" w:rsidP="00B4758A">
      <w:pPr>
        <w:pStyle w:val="Prrafodelista1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80" w:lineRule="exact"/>
        <w:ind w:left="284" w:hanging="284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193752">
        <w:rPr>
          <w:rFonts w:ascii="Arial" w:hAnsi="Arial" w:cs="Arial"/>
          <w:b/>
          <w:sz w:val="20"/>
          <w:szCs w:val="20"/>
          <w:u w:val="single"/>
        </w:rPr>
        <w:t>Activos financieros no corrientes</w:t>
      </w:r>
    </w:p>
    <w:p w:rsidR="00B4758A" w:rsidRPr="00CB3E29" w:rsidRDefault="00B4758A" w:rsidP="00B4758A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ind w:right="28"/>
        <w:jc w:val="both"/>
        <w:rPr>
          <w:rFonts w:ascii="Arial" w:hAnsi="Arial" w:cs="Arial"/>
          <w:sz w:val="20"/>
          <w:szCs w:val="20"/>
        </w:rPr>
      </w:pPr>
      <w:r w:rsidRPr="00CB3E29">
        <w:rPr>
          <w:rFonts w:ascii="Arial" w:hAnsi="Arial" w:cs="Arial"/>
          <w:sz w:val="20"/>
          <w:szCs w:val="20"/>
        </w:rPr>
        <w:t xml:space="preserve">El detalle de activos financieros </w:t>
      </w:r>
      <w:r>
        <w:rPr>
          <w:rFonts w:ascii="Arial" w:hAnsi="Arial" w:cs="Arial"/>
          <w:sz w:val="20"/>
          <w:szCs w:val="20"/>
        </w:rPr>
        <w:t>no corrientes</w:t>
      </w:r>
      <w:r w:rsidRPr="00CB3E29">
        <w:rPr>
          <w:rFonts w:ascii="Arial" w:hAnsi="Arial" w:cs="Arial"/>
          <w:sz w:val="20"/>
          <w:szCs w:val="20"/>
        </w:rPr>
        <w:t xml:space="preserve">, salvo inversiones en el patrimonio de empresas del grupo, </w:t>
      </w:r>
      <w:proofErr w:type="spellStart"/>
      <w:r w:rsidRPr="00CB3E29">
        <w:rPr>
          <w:rFonts w:ascii="Arial" w:hAnsi="Arial" w:cs="Arial"/>
          <w:sz w:val="20"/>
          <w:szCs w:val="20"/>
        </w:rPr>
        <w:t>multigrupo</w:t>
      </w:r>
      <w:proofErr w:type="spellEnd"/>
      <w:r w:rsidRPr="00CB3E29">
        <w:rPr>
          <w:rFonts w:ascii="Arial" w:hAnsi="Arial" w:cs="Arial"/>
          <w:sz w:val="20"/>
          <w:szCs w:val="20"/>
        </w:rPr>
        <w:t xml:space="preserve"> y asociadas, es el siguiente, en euros: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2189"/>
        <w:gridCol w:w="2191"/>
      </w:tblGrid>
      <w:tr w:rsidR="00B4758A" w:rsidTr="00DD348D">
        <w:trPr>
          <w:trHeight w:val="454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Créditos, derivados y otros 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B4758A" w:rsidTr="00DD348D">
        <w:trPr>
          <w:trHeight w:val="2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final del ejercicio 2019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708.113,62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708.113,62</w:t>
            </w:r>
          </w:p>
        </w:tc>
      </w:tr>
      <w:tr w:rsidR="00B4758A" w:rsidTr="00DD348D">
        <w:trPr>
          <w:trHeight w:val="283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(+) Altas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4758A" w:rsidRPr="00956FD0" w:rsidTr="00DD348D">
        <w:trPr>
          <w:trHeight w:val="283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(-) Salidas y reducciones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(45.279,96)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(45.279,96)</w:t>
            </w:r>
          </w:p>
        </w:tc>
      </w:tr>
      <w:tr w:rsidR="00B4758A" w:rsidRPr="00956FD0" w:rsidTr="00DD348D">
        <w:trPr>
          <w:trHeight w:val="283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(+/-) Traspasos y otras variaciones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4758A" w:rsidTr="00DD348D">
        <w:trPr>
          <w:trHeight w:val="2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final del ejercicio 2020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662.833,66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662.833,66</w:t>
            </w:r>
          </w:p>
        </w:tc>
      </w:tr>
      <w:tr w:rsidR="00B4758A" w:rsidTr="00DD348D">
        <w:trPr>
          <w:trHeight w:val="283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(+) Altas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Pr="00FD229D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4758A" w:rsidRPr="00956FD0" w:rsidTr="00DD348D">
        <w:trPr>
          <w:trHeight w:val="283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(-) Salidas y reducciones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(45.279,96)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(45.279,96)</w:t>
            </w:r>
          </w:p>
        </w:tc>
      </w:tr>
      <w:tr w:rsidR="00B4758A" w:rsidRPr="00956FD0" w:rsidTr="00DD348D">
        <w:trPr>
          <w:trHeight w:val="283"/>
        </w:trPr>
        <w:tc>
          <w:tcPr>
            <w:tcW w:w="2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(+/-) Traspasos y otras variaciones 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4758A" w:rsidTr="00DD348D">
        <w:trPr>
          <w:trHeight w:val="283"/>
        </w:trPr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final del ejercicio 2021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617.553,70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617.553,70</w:t>
            </w:r>
          </w:p>
        </w:tc>
      </w:tr>
    </w:tbl>
    <w:p w:rsidR="00B4758A" w:rsidRPr="00552600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552600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>la</w:t>
      </w:r>
      <w:r w:rsidRPr="00552600">
        <w:rPr>
          <w:rFonts w:ascii="Arial" w:hAnsi="Arial" w:cs="Arial"/>
          <w:sz w:val="20"/>
          <w:szCs w:val="20"/>
        </w:rPr>
        <w:t xml:space="preserve"> </w:t>
      </w:r>
      <w:r w:rsidRPr="0059073D">
        <w:rPr>
          <w:rFonts w:ascii="Arial" w:hAnsi="Arial" w:cs="Arial"/>
          <w:sz w:val="20"/>
          <w:szCs w:val="20"/>
        </w:rPr>
        <w:t>partida “Créditos, derivados y otros” se agrupan, por un lado, participaciones en acciones de La Caixa, derivadas de la conversión de obligaciones en acciones por importe de 2.499,91 euros (mismo importe en el ejercicio anterior).</w:t>
      </w:r>
    </w:p>
    <w:p w:rsidR="00B4758A" w:rsidRPr="00552600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59073D">
        <w:rPr>
          <w:rFonts w:ascii="Arial" w:hAnsi="Arial" w:cs="Arial"/>
          <w:sz w:val="20"/>
          <w:szCs w:val="20"/>
        </w:rPr>
        <w:t>La otra partida dentro de este epígrafe corresponde a gastos anticipados a largo plazo por importe de 615.053,79 euros (660.333,75 euros en el ejercicio 2020). Se trata de gastos anticipados correspondientes a facturas por la cesión de uso de la canalización a 25 años con la entidad “Metropolitano de Tenerife S.A.”</w:t>
      </w:r>
    </w:p>
    <w:p w:rsidR="00B4758A" w:rsidRPr="00193752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3752">
        <w:rPr>
          <w:rFonts w:ascii="Arial" w:hAnsi="Arial" w:cs="Arial"/>
          <w:b/>
          <w:sz w:val="20"/>
          <w:szCs w:val="20"/>
          <w:u w:val="single"/>
        </w:rPr>
        <w:t>Correcciones por deterioro del valor originado por el riesgo de crédito</w:t>
      </w:r>
    </w:p>
    <w:p w:rsidR="00B4758A" w:rsidRPr="00552600" w:rsidRDefault="00B4758A" w:rsidP="00B4758A">
      <w:pPr>
        <w:pStyle w:val="Prrafodelista1"/>
        <w:widowControl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52600">
        <w:rPr>
          <w:rFonts w:ascii="Arial" w:hAnsi="Arial" w:cs="Arial"/>
          <w:sz w:val="20"/>
          <w:szCs w:val="20"/>
        </w:rPr>
        <w:t>No se han r</w:t>
      </w:r>
      <w:r>
        <w:rPr>
          <w:rFonts w:ascii="Arial" w:hAnsi="Arial" w:cs="Arial"/>
          <w:sz w:val="20"/>
          <w:szCs w:val="20"/>
        </w:rPr>
        <w:t>egistrado correcciones de valor en el ejercicio 2021 y 2020.</w:t>
      </w:r>
    </w:p>
    <w:p w:rsidR="00B4758A" w:rsidRPr="00193752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3752">
        <w:rPr>
          <w:rFonts w:ascii="Arial" w:hAnsi="Arial" w:cs="Arial"/>
          <w:b/>
          <w:sz w:val="20"/>
          <w:szCs w:val="20"/>
          <w:u w:val="single"/>
        </w:rPr>
        <w:t>Activos financieros designados a valor razonable con cambios en la cuenta de pérdidas y ganancias.</w:t>
      </w:r>
    </w:p>
    <w:p w:rsidR="00B4758A" w:rsidRPr="00552600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552600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Sociedad</w:t>
      </w:r>
      <w:r w:rsidRPr="00552600">
        <w:rPr>
          <w:rFonts w:ascii="Arial" w:hAnsi="Arial" w:cs="Arial"/>
          <w:sz w:val="20"/>
          <w:szCs w:val="20"/>
        </w:rPr>
        <w:t xml:space="preserve"> no dispone de este tipo de activos.</w:t>
      </w:r>
    </w:p>
    <w:p w:rsidR="00B4758A" w:rsidRPr="00193752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3752">
        <w:rPr>
          <w:rFonts w:ascii="Arial" w:hAnsi="Arial" w:cs="Arial"/>
          <w:b/>
          <w:sz w:val="20"/>
          <w:szCs w:val="20"/>
          <w:u w:val="single"/>
        </w:rPr>
        <w:t xml:space="preserve">Empresas del grupo, </w:t>
      </w:r>
      <w:proofErr w:type="spellStart"/>
      <w:r w:rsidRPr="00193752">
        <w:rPr>
          <w:rFonts w:ascii="Arial" w:hAnsi="Arial" w:cs="Arial"/>
          <w:b/>
          <w:sz w:val="20"/>
          <w:szCs w:val="20"/>
          <w:u w:val="single"/>
        </w:rPr>
        <w:t>multigrupo</w:t>
      </w:r>
      <w:proofErr w:type="spellEnd"/>
      <w:r w:rsidRPr="00193752">
        <w:rPr>
          <w:rFonts w:ascii="Arial" w:hAnsi="Arial" w:cs="Arial"/>
          <w:b/>
          <w:sz w:val="20"/>
          <w:szCs w:val="20"/>
          <w:u w:val="single"/>
        </w:rPr>
        <w:t xml:space="preserve"> y asociadas</w:t>
      </w:r>
    </w:p>
    <w:p w:rsidR="00B4758A" w:rsidRPr="00552600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ejercicio 2009, </w:t>
      </w:r>
      <w:r w:rsidRPr="00552600">
        <w:rPr>
          <w:rFonts w:ascii="Arial" w:hAnsi="Arial" w:cs="Arial"/>
          <w:sz w:val="20"/>
          <w:szCs w:val="20"/>
        </w:rPr>
        <w:t xml:space="preserve">La Sociedad suscribe participaciones sociales de la entidad “Canarias </w:t>
      </w:r>
      <w:proofErr w:type="spellStart"/>
      <w:r w:rsidRPr="00552600">
        <w:rPr>
          <w:rFonts w:ascii="Arial" w:hAnsi="Arial" w:cs="Arial"/>
          <w:sz w:val="20"/>
          <w:szCs w:val="20"/>
        </w:rPr>
        <w:t>Submarine</w:t>
      </w:r>
      <w:proofErr w:type="spellEnd"/>
      <w:r w:rsidRPr="00552600">
        <w:rPr>
          <w:rFonts w:ascii="Arial" w:hAnsi="Arial" w:cs="Arial"/>
          <w:sz w:val="20"/>
          <w:szCs w:val="20"/>
        </w:rPr>
        <w:t xml:space="preserve"> Link, SL”, domiciliada en el Polígono Industrial de Granadilla, Granadilla de Abona y con CIF B35808468. La participación inicial de IT3 en Canarias </w:t>
      </w:r>
      <w:proofErr w:type="spellStart"/>
      <w:r w:rsidRPr="00552600">
        <w:rPr>
          <w:rFonts w:ascii="Arial" w:hAnsi="Arial" w:cs="Arial"/>
          <w:sz w:val="20"/>
          <w:szCs w:val="20"/>
        </w:rPr>
        <w:t>Submarine</w:t>
      </w:r>
      <w:proofErr w:type="spellEnd"/>
      <w:r w:rsidRPr="00552600">
        <w:rPr>
          <w:rFonts w:ascii="Arial" w:hAnsi="Arial" w:cs="Arial"/>
          <w:sz w:val="20"/>
          <w:szCs w:val="20"/>
        </w:rPr>
        <w:t xml:space="preserve"> Link fue del 50% valorada en 614.714,99 euros, de los cuales 478.340,00</w:t>
      </w:r>
      <w:r>
        <w:rPr>
          <w:rFonts w:ascii="Arial" w:hAnsi="Arial" w:cs="Arial"/>
          <w:sz w:val="20"/>
          <w:szCs w:val="20"/>
        </w:rPr>
        <w:t xml:space="preserve"> euros</w:t>
      </w:r>
      <w:r w:rsidRPr="00552600">
        <w:rPr>
          <w:rFonts w:ascii="Arial" w:hAnsi="Arial" w:cs="Arial"/>
          <w:sz w:val="20"/>
          <w:szCs w:val="20"/>
        </w:rPr>
        <w:t xml:space="preserve"> corresponden al capital social suscrito y 136.374,99 euros a prima de emisión. </w:t>
      </w:r>
    </w:p>
    <w:p w:rsidR="00B4758A" w:rsidRPr="00552600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552600">
        <w:rPr>
          <w:rFonts w:ascii="Arial" w:hAnsi="Arial" w:cs="Arial"/>
          <w:sz w:val="20"/>
          <w:szCs w:val="20"/>
        </w:rPr>
        <w:t xml:space="preserve">Con fecha 19 de enero de 2011 se eleva a público la ampliación de capital de la Sociedad Canarias </w:t>
      </w:r>
      <w:proofErr w:type="spellStart"/>
      <w:r w:rsidRPr="00552600">
        <w:rPr>
          <w:rFonts w:ascii="Arial" w:hAnsi="Arial" w:cs="Arial"/>
          <w:sz w:val="20"/>
          <w:szCs w:val="20"/>
        </w:rPr>
        <w:t>Submarine</w:t>
      </w:r>
      <w:proofErr w:type="spellEnd"/>
      <w:r w:rsidRPr="00552600">
        <w:rPr>
          <w:rFonts w:ascii="Arial" w:hAnsi="Arial" w:cs="Arial"/>
          <w:sz w:val="20"/>
          <w:szCs w:val="20"/>
        </w:rPr>
        <w:t xml:space="preserve"> Link SL. En esta ampliación IT3 asume 1.780.744 nuevas participaciones valoradas en 14.385.292,68 euros, de los cuales 1.780.744 euros corresponden al nuevo capital suscrito y 12.604.548,55 euros a prima de emisión.</w:t>
      </w:r>
    </w:p>
    <w:p w:rsidR="00B4758A" w:rsidRPr="00552600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fecha</w:t>
      </w:r>
      <w:r w:rsidRPr="00552600">
        <w:rPr>
          <w:rFonts w:ascii="Arial" w:hAnsi="Arial" w:cs="Arial"/>
          <w:sz w:val="20"/>
          <w:szCs w:val="20"/>
        </w:rPr>
        <w:t xml:space="preserve"> 30 de Abril de 2013 se eleva a público la compra a </w:t>
      </w:r>
      <w:proofErr w:type="spellStart"/>
      <w:r w:rsidRPr="00552600">
        <w:rPr>
          <w:rFonts w:ascii="Arial" w:hAnsi="Arial" w:cs="Arial"/>
          <w:sz w:val="20"/>
          <w:szCs w:val="20"/>
        </w:rPr>
        <w:t>Canalink</w:t>
      </w:r>
      <w:proofErr w:type="spellEnd"/>
      <w:r w:rsidRPr="005526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2600">
        <w:rPr>
          <w:rFonts w:ascii="Arial" w:hAnsi="Arial" w:cs="Arial"/>
          <w:sz w:val="20"/>
          <w:szCs w:val="20"/>
        </w:rPr>
        <w:t>Holdco</w:t>
      </w:r>
      <w:proofErr w:type="spellEnd"/>
      <w:r w:rsidRPr="00552600">
        <w:rPr>
          <w:rFonts w:ascii="Arial" w:hAnsi="Arial" w:cs="Arial"/>
          <w:sz w:val="20"/>
          <w:szCs w:val="20"/>
        </w:rPr>
        <w:t xml:space="preserve"> de 1.904.598 participaciones por valor de 12.000.000 euros, correspondiente a las participaciones numeradas de la </w:t>
      </w:r>
      <w:smartTag w:uri="urn:schemas-microsoft-com:office:smarttags" w:element="metricconverter">
        <w:smartTagPr>
          <w:attr w:name="ProductID" w:val="1 a"/>
        </w:smartTagPr>
        <w:r w:rsidRPr="00552600">
          <w:rPr>
            <w:rFonts w:ascii="Arial" w:hAnsi="Arial" w:cs="Arial"/>
            <w:sz w:val="20"/>
            <w:szCs w:val="20"/>
          </w:rPr>
          <w:t>1 a</w:t>
        </w:r>
      </w:smartTag>
      <w:r w:rsidRPr="00552600">
        <w:rPr>
          <w:rFonts w:ascii="Arial" w:hAnsi="Arial" w:cs="Arial"/>
          <w:sz w:val="20"/>
          <w:szCs w:val="20"/>
        </w:rPr>
        <w:t xml:space="preserve"> la 478.340 y de la </w:t>
      </w:r>
      <w:smartTag w:uri="urn:schemas-microsoft-com:office:smarttags" w:element="metricconverter">
        <w:smartTagPr>
          <w:attr w:name="ProductID" w:val="956.681 a"/>
        </w:smartTagPr>
        <w:r w:rsidRPr="00552600">
          <w:rPr>
            <w:rFonts w:ascii="Arial" w:hAnsi="Arial" w:cs="Arial"/>
            <w:sz w:val="20"/>
            <w:szCs w:val="20"/>
          </w:rPr>
          <w:t>956.681 a</w:t>
        </w:r>
      </w:smartTag>
      <w:r w:rsidRPr="00552600">
        <w:rPr>
          <w:rFonts w:ascii="Arial" w:hAnsi="Arial" w:cs="Arial"/>
          <w:sz w:val="20"/>
          <w:szCs w:val="20"/>
        </w:rPr>
        <w:t xml:space="preserve"> la 2.382.938 de la Sociedad Canarias </w:t>
      </w:r>
      <w:proofErr w:type="spellStart"/>
      <w:r w:rsidRPr="00552600">
        <w:rPr>
          <w:rFonts w:ascii="Arial" w:hAnsi="Arial" w:cs="Arial"/>
          <w:sz w:val="20"/>
          <w:szCs w:val="20"/>
        </w:rPr>
        <w:t>Subm</w:t>
      </w:r>
      <w:r>
        <w:rPr>
          <w:rFonts w:ascii="Arial" w:hAnsi="Arial" w:cs="Arial"/>
          <w:sz w:val="20"/>
          <w:szCs w:val="20"/>
        </w:rPr>
        <w:t>arine</w:t>
      </w:r>
      <w:proofErr w:type="spellEnd"/>
      <w:r>
        <w:rPr>
          <w:rFonts w:ascii="Arial" w:hAnsi="Arial" w:cs="Arial"/>
          <w:sz w:val="20"/>
          <w:szCs w:val="20"/>
        </w:rPr>
        <w:t xml:space="preserve"> Link. En consecuencia, Instituto Tecnológico y de Telecomunicaciones de Tenerife</w:t>
      </w:r>
      <w:r w:rsidRPr="00552600">
        <w:rPr>
          <w:rFonts w:ascii="Arial" w:hAnsi="Arial" w:cs="Arial"/>
          <w:sz w:val="20"/>
          <w:szCs w:val="20"/>
        </w:rPr>
        <w:t xml:space="preserve"> asume el 100% del Capital Social, convirtiéndose en el socio único de esta Sociedad.</w:t>
      </w:r>
    </w:p>
    <w:p w:rsidR="00B4758A" w:rsidRPr="000A64C1" w:rsidRDefault="00B4758A" w:rsidP="00B4758A">
      <w:pPr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0A64C1">
        <w:rPr>
          <w:rFonts w:ascii="Arial" w:hAnsi="Arial" w:cs="Arial"/>
          <w:sz w:val="20"/>
          <w:szCs w:val="20"/>
        </w:rPr>
        <w:t>El resumen de los fondos propios, según sus cuentas anuales auditadas del ejercicio 2021, se muestra a continuación, en euros: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059"/>
        <w:gridCol w:w="1191"/>
        <w:gridCol w:w="1293"/>
        <w:gridCol w:w="1191"/>
        <w:gridCol w:w="1292"/>
      </w:tblGrid>
      <w:tr w:rsidR="00B4758A" w:rsidRPr="000A64C1" w:rsidTr="00DD348D">
        <w:trPr>
          <w:trHeight w:val="460"/>
        </w:trPr>
        <w:tc>
          <w:tcPr>
            <w:tcW w:w="1486" w:type="pct"/>
            <w:tcBorders>
              <w:bottom w:val="single" w:sz="4" w:space="0" w:color="auto"/>
            </w:tcBorders>
            <w:shd w:val="clear" w:color="000000" w:fill="D9D9D9"/>
            <w:noWrap/>
            <w:vAlign w:val="bottom"/>
          </w:tcPr>
          <w:p w:rsidR="00B4758A" w:rsidRPr="000A64C1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Sociedad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4758A" w:rsidRPr="000A64C1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Balance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4758A" w:rsidRPr="000A64C1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Capital Social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4758A" w:rsidRPr="000A64C1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Reservas y otros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4758A" w:rsidRPr="000A64C1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4758A" w:rsidRPr="000A64C1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Patrimonio Neto</w:t>
            </w:r>
          </w:p>
        </w:tc>
      </w:tr>
      <w:tr w:rsidR="00B4758A" w:rsidTr="00DD348D">
        <w:trPr>
          <w:trHeight w:val="397"/>
        </w:trPr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A64C1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 xml:space="preserve">Canarias </w:t>
            </w:r>
            <w:proofErr w:type="spellStart"/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>Submarine</w:t>
            </w:r>
            <w:proofErr w:type="spellEnd"/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 xml:space="preserve"> Link, SLU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A64C1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A64C1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>4.163.682,00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A64C1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>39.014.056.63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A64C1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>3.425.383,07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A64C1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4C1">
              <w:rPr>
                <w:rFonts w:ascii="Arial" w:hAnsi="Arial" w:cs="Arial"/>
                <w:color w:val="000000"/>
                <w:sz w:val="18"/>
                <w:szCs w:val="18"/>
              </w:rPr>
              <w:t>67.910.157,56</w:t>
            </w:r>
          </w:p>
        </w:tc>
      </w:tr>
    </w:tbl>
    <w:p w:rsidR="00B4758A" w:rsidRPr="00552600" w:rsidRDefault="00B4758A" w:rsidP="00B4758A">
      <w:pPr>
        <w:pStyle w:val="Prrafodelista1"/>
        <w:widowControl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valor de la inversión a 31 de diciembre de 2021 en Canarias </w:t>
      </w:r>
      <w:proofErr w:type="spellStart"/>
      <w:r>
        <w:rPr>
          <w:rFonts w:ascii="Arial" w:hAnsi="Arial" w:cs="Arial"/>
          <w:sz w:val="20"/>
          <w:szCs w:val="20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Link, SLU es de </w:t>
      </w:r>
      <w:r w:rsidRPr="00DF508F">
        <w:rPr>
          <w:rFonts w:ascii="Arial" w:hAnsi="Arial" w:cs="Arial"/>
          <w:sz w:val="20"/>
          <w:szCs w:val="20"/>
        </w:rPr>
        <w:t>27.000.007,61</w:t>
      </w:r>
      <w:r>
        <w:rPr>
          <w:rFonts w:ascii="Arial" w:hAnsi="Arial" w:cs="Arial"/>
          <w:sz w:val="20"/>
          <w:szCs w:val="20"/>
        </w:rPr>
        <w:t xml:space="preserve"> euros (mismo importe en el ejercicio anterior)</w:t>
      </w:r>
    </w:p>
    <w:p w:rsidR="00B4758A" w:rsidRPr="00193752" w:rsidRDefault="00B4758A" w:rsidP="00B4758A">
      <w:pPr>
        <w:pStyle w:val="Prrafodelista1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 w:line="280" w:lineRule="exact"/>
        <w:ind w:left="284" w:hanging="284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193752">
        <w:rPr>
          <w:rFonts w:ascii="Arial" w:hAnsi="Arial" w:cs="Arial"/>
          <w:b/>
          <w:sz w:val="20"/>
          <w:szCs w:val="20"/>
          <w:u w:val="single"/>
        </w:rPr>
        <w:t>Activos financieros corrientes</w:t>
      </w:r>
    </w:p>
    <w:p w:rsidR="00B4758A" w:rsidRDefault="00B4758A" w:rsidP="00B4758A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detalle de activos financieros corrientes, es el siguiente, en euros: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501"/>
        <w:gridCol w:w="1499"/>
      </w:tblGrid>
      <w:tr w:rsidR="00B4758A" w:rsidTr="00DD348D">
        <w:trPr>
          <w:trHeight w:val="230"/>
        </w:trPr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 y otros</w:t>
            </w:r>
          </w:p>
        </w:tc>
      </w:tr>
      <w:tr w:rsidR="00B4758A" w:rsidTr="00DD348D">
        <w:trPr>
          <w:trHeight w:val="230"/>
        </w:trPr>
        <w:tc>
          <w:tcPr>
            <w:tcW w:w="3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</w:tr>
      <w:tr w:rsidR="00B4758A" w:rsidRPr="005C0BA7" w:rsidTr="00DD348D">
        <w:trPr>
          <w:trHeight w:val="283"/>
        </w:trPr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5C0BA7" w:rsidRDefault="00B4758A" w:rsidP="00DD348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0B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Efectivo y otros activos líquidos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5C0BA7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3.480.367,06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5C0BA7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0B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1.712.558,62</w:t>
            </w:r>
          </w:p>
        </w:tc>
      </w:tr>
      <w:tr w:rsidR="00B4758A" w:rsidTr="00DD348D">
        <w:trPr>
          <w:trHeight w:val="283"/>
        </w:trPr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45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Activo financiero a coste amortizado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4E1939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691.665,54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4E1939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1939">
              <w:rPr>
                <w:rFonts w:ascii="Arial" w:hAnsi="Arial" w:cs="Arial"/>
                <w:b/>
                <w:color w:val="000000"/>
                <w:sz w:val="18"/>
                <w:szCs w:val="18"/>
              </w:rPr>
              <w:t>1.147.319,76</w:t>
            </w:r>
          </w:p>
        </w:tc>
      </w:tr>
      <w:tr w:rsidR="00B4758A" w:rsidTr="00DD348D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4.172.032,60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2.859.878,38</w:t>
            </w:r>
          </w:p>
        </w:tc>
      </w:tr>
    </w:tbl>
    <w:p w:rsidR="00B4758A" w:rsidRDefault="00B4758A" w:rsidP="00B4758A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composición de “</w:t>
      </w:r>
      <w:r w:rsidRPr="0072459C">
        <w:rPr>
          <w:rFonts w:ascii="Arial" w:hAnsi="Arial" w:cs="Arial"/>
          <w:sz w:val="20"/>
          <w:szCs w:val="20"/>
        </w:rPr>
        <w:t>Activo financiero a coste amortizado</w:t>
      </w:r>
      <w:r>
        <w:rPr>
          <w:rFonts w:ascii="Arial" w:hAnsi="Arial" w:cs="Arial"/>
          <w:sz w:val="20"/>
          <w:szCs w:val="20"/>
        </w:rPr>
        <w:t>” al 31 de diciembre de 2021 y 2020, es la siguiente, en euros: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342"/>
        <w:gridCol w:w="1536"/>
      </w:tblGrid>
      <w:tr w:rsidR="00B4758A" w:rsidTr="00DD348D">
        <w:trPr>
          <w:trHeight w:val="340"/>
        </w:trPr>
        <w:tc>
          <w:tcPr>
            <w:tcW w:w="3334" w:type="pct"/>
            <w:tcBorders>
              <w:bottom w:val="single" w:sz="4" w:space="0" w:color="auto"/>
            </w:tcBorders>
            <w:shd w:val="clear" w:color="000000" w:fill="D9D9D9"/>
            <w:noWrap/>
            <w:vAlign w:val="bottom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4758A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4758A" w:rsidRDefault="00B4758A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Créditos empresas del grupo efecto impositivo (Nota 9)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182.494,28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186.415,66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Cuentas corrientes con empresas del grupo (Nota 9)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7.805,82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8.473,51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Clientes por ventas y prestaciones de servicios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412.324,26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863.225,51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Deudores por prestación de servicios empresas grupo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67.685,92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67.685,92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Créditos prest. Servicios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13.583,04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13.583,04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Anticipo de proveedores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163,90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representativos de deuda: Obligaciones</w:t>
            </w:r>
          </w:p>
        </w:tc>
        <w:tc>
          <w:tcPr>
            <w:tcW w:w="777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2.500,00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Fianzas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5.272,22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5.272,22</w:t>
            </w:r>
          </w:p>
        </w:tc>
      </w:tr>
      <w:tr w:rsidR="00B4758A" w:rsidTr="00DD348D">
        <w:trPr>
          <w:trHeight w:val="283"/>
        </w:trPr>
        <w:tc>
          <w:tcPr>
            <w:tcW w:w="333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B4758A" w:rsidRDefault="00B4758A" w:rsidP="00DD3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691.665,54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1.147.319,76</w:t>
            </w:r>
          </w:p>
        </w:tc>
      </w:tr>
    </w:tbl>
    <w:p w:rsidR="00B4758A" w:rsidRPr="00193752" w:rsidRDefault="00B4758A" w:rsidP="00B4758A">
      <w:pPr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93752">
        <w:rPr>
          <w:rFonts w:ascii="Arial" w:hAnsi="Arial" w:cs="Arial"/>
          <w:b/>
          <w:sz w:val="20"/>
          <w:szCs w:val="20"/>
          <w:u w:val="single"/>
        </w:rPr>
        <w:t>Periodificaciones</w:t>
      </w:r>
      <w:proofErr w:type="spellEnd"/>
    </w:p>
    <w:p w:rsidR="00B4758A" w:rsidRPr="00575921" w:rsidRDefault="00B4758A" w:rsidP="00B4758A">
      <w:pPr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731C7B">
        <w:rPr>
          <w:rFonts w:ascii="Arial" w:hAnsi="Arial" w:cs="Arial"/>
          <w:sz w:val="20"/>
          <w:szCs w:val="20"/>
        </w:rPr>
        <w:t xml:space="preserve">La partida </w:t>
      </w:r>
      <w:proofErr w:type="spellStart"/>
      <w:r w:rsidRPr="00731C7B">
        <w:rPr>
          <w:rFonts w:ascii="Arial" w:hAnsi="Arial" w:cs="Arial"/>
          <w:sz w:val="20"/>
          <w:szCs w:val="20"/>
        </w:rPr>
        <w:t>periodificaciones</w:t>
      </w:r>
      <w:proofErr w:type="spellEnd"/>
      <w:r w:rsidRPr="00731C7B">
        <w:rPr>
          <w:rFonts w:ascii="Arial" w:hAnsi="Arial" w:cs="Arial"/>
          <w:sz w:val="20"/>
          <w:szCs w:val="20"/>
        </w:rPr>
        <w:t xml:space="preserve"> que figura en el activo corriente corresponde al gasto anticipado a corto plazo por la cesión de uso de la canalización a 25 años, y cuyo saldo es de 45.279,96 euros en el ejercicio 2021 y 2020.</w:t>
      </w:r>
    </w:p>
    <w:p w:rsidR="00B4758A" w:rsidRPr="00193752" w:rsidRDefault="00B4758A" w:rsidP="00B4758A">
      <w:pPr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3752">
        <w:rPr>
          <w:rFonts w:ascii="Arial" w:hAnsi="Arial" w:cs="Arial"/>
          <w:b/>
          <w:sz w:val="20"/>
          <w:szCs w:val="20"/>
          <w:u w:val="single"/>
        </w:rPr>
        <w:t>Efectivo y otros activos financieros</w:t>
      </w:r>
    </w:p>
    <w:p w:rsidR="00B4758A" w:rsidRPr="00575921" w:rsidRDefault="00B4758A" w:rsidP="00B4758A">
      <w:pPr>
        <w:pStyle w:val="Prrafodelista1"/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575921">
        <w:rPr>
          <w:rFonts w:ascii="Arial" w:hAnsi="Arial" w:cs="Arial"/>
          <w:sz w:val="20"/>
          <w:szCs w:val="20"/>
        </w:rPr>
        <w:t>El detalle del epígrafe de efectivo y otros activos líquidos equivalentes al cierre del ejercicio es como sigue: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158"/>
        <w:gridCol w:w="2160"/>
      </w:tblGrid>
      <w:tr w:rsidR="00B4758A" w:rsidRPr="008231DD" w:rsidTr="00DD348D">
        <w:trPr>
          <w:trHeight w:val="288"/>
          <w:jc w:val="center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8231DD" w:rsidRDefault="00B4758A" w:rsidP="00DD348D">
            <w:pPr>
              <w:ind w:lef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31DD">
              <w:rPr>
                <w:rFonts w:ascii="Arial" w:hAnsi="Arial" w:cs="Arial"/>
                <w:b/>
                <w:bCs/>
                <w:sz w:val="18"/>
                <w:szCs w:val="18"/>
              </w:rPr>
              <w:t>Tesorería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4758A" w:rsidRPr="008231DD" w:rsidRDefault="00B4758A" w:rsidP="00DD348D">
            <w:pPr>
              <w:ind w:right="3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4758A" w:rsidRPr="008231DD" w:rsidRDefault="00B4758A" w:rsidP="00DD348D">
            <w:pPr>
              <w:ind w:right="32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</w:tr>
      <w:tr w:rsidR="00B4758A" w:rsidRPr="008231DD" w:rsidTr="00DD348D">
        <w:trPr>
          <w:trHeight w:val="340"/>
          <w:jc w:val="center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8231DD" w:rsidRDefault="00B4758A" w:rsidP="00DD348D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231DD">
              <w:rPr>
                <w:rFonts w:ascii="Arial" w:hAnsi="Arial" w:cs="Arial"/>
                <w:sz w:val="18"/>
                <w:szCs w:val="18"/>
              </w:rPr>
              <w:t>Caja y Bancos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8231DD" w:rsidRDefault="00B4758A" w:rsidP="00DD348D">
            <w:pPr>
              <w:ind w:right="3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3.480.367,06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8231DD" w:rsidRDefault="00B4758A" w:rsidP="00DD348D">
            <w:pPr>
              <w:ind w:right="3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1.712.558,62</w:t>
            </w:r>
          </w:p>
        </w:tc>
      </w:tr>
    </w:tbl>
    <w:p w:rsidR="00B4758A" w:rsidRPr="003604CB" w:rsidRDefault="00B4758A" w:rsidP="00B4758A">
      <w:pPr>
        <w:keepNext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before="360" w:after="120" w:line="280" w:lineRule="exact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604CB">
        <w:rPr>
          <w:rFonts w:ascii="Arial" w:hAnsi="Arial" w:cs="Arial"/>
          <w:b/>
          <w:bCs/>
          <w:sz w:val="20"/>
          <w:szCs w:val="20"/>
        </w:rPr>
        <w:t>PASIVOS FINANCIEROS</w:t>
      </w:r>
    </w:p>
    <w:p w:rsidR="00B4758A" w:rsidRDefault="00B4758A" w:rsidP="00B4758A">
      <w:pPr>
        <w:keepNext/>
        <w:keepLines/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detalle de pasivos financieros no corriente y corriente, es el siguiente en euros: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1782"/>
        <w:gridCol w:w="1521"/>
      </w:tblGrid>
      <w:tr w:rsidR="00B4758A" w:rsidTr="00DD348D">
        <w:trPr>
          <w:trHeight w:val="170"/>
          <w:jc w:val="center"/>
        </w:trPr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ind w:right="2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Créditos y otros</w:t>
            </w:r>
          </w:p>
        </w:tc>
      </w:tr>
      <w:tr w:rsidR="00B4758A" w:rsidTr="00DD348D">
        <w:trPr>
          <w:trHeight w:val="170"/>
          <w:jc w:val="center"/>
        </w:trPr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ind w:left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ind w:right="2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ind w:right="2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</w:tr>
      <w:tr w:rsidR="00B4758A" w:rsidRPr="001D758F" w:rsidTr="00DD348D">
        <w:trPr>
          <w:trHeight w:val="283"/>
          <w:jc w:val="center"/>
        </w:trPr>
        <w:tc>
          <w:tcPr>
            <w:tcW w:w="30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721307" w:rsidRDefault="00B4758A" w:rsidP="00DD348D">
            <w:pPr>
              <w:keepNext/>
              <w:keepLines/>
              <w:ind w:left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7213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Pasivos no corriente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1D758F" w:rsidRDefault="00B4758A" w:rsidP="00DD348D">
            <w:pPr>
              <w:keepNext/>
              <w:keepLines/>
              <w:ind w:right="29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1D758F" w:rsidRDefault="00B4758A" w:rsidP="00DD348D">
            <w:pPr>
              <w:keepNext/>
              <w:keepLines/>
              <w:ind w:right="29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4758A" w:rsidTr="00DD348D">
        <w:trPr>
          <w:trHeight w:val="283"/>
          <w:jc w:val="center"/>
        </w:trPr>
        <w:tc>
          <w:tcPr>
            <w:tcW w:w="3063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721307" w:rsidRDefault="00B4758A" w:rsidP="00DD348D">
            <w:pPr>
              <w:keepNext/>
              <w:keepLines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45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Pasivo financiero a coste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45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amortizado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l/p</w:t>
            </w:r>
          </w:p>
        </w:tc>
        <w:tc>
          <w:tcPr>
            <w:tcW w:w="104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721307" w:rsidRDefault="00B4758A" w:rsidP="00DD348D">
            <w:pPr>
              <w:keepNext/>
              <w:keepLines/>
              <w:ind w:right="29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19.483.105,74</w:t>
            </w: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721307" w:rsidRDefault="00B4758A" w:rsidP="00DD348D">
            <w:pPr>
              <w:keepNext/>
              <w:keepLines/>
              <w:ind w:right="293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19.205.420,74</w:t>
            </w:r>
          </w:p>
        </w:tc>
      </w:tr>
      <w:tr w:rsidR="00B4758A" w:rsidTr="00DD348D">
        <w:trPr>
          <w:trHeight w:val="283"/>
          <w:jc w:val="center"/>
        </w:trPr>
        <w:tc>
          <w:tcPr>
            <w:tcW w:w="3063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721307" w:rsidRDefault="00B4758A" w:rsidP="00DD348D">
            <w:pPr>
              <w:keepNext/>
              <w:keepLines/>
              <w:ind w:left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7213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Pasivos corriente</w:t>
            </w:r>
          </w:p>
        </w:tc>
        <w:tc>
          <w:tcPr>
            <w:tcW w:w="1045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ind w:right="29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keepNext/>
              <w:keepLines/>
              <w:ind w:right="29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758A" w:rsidRPr="00B37F38" w:rsidTr="00DD348D">
        <w:trPr>
          <w:trHeight w:val="283"/>
          <w:jc w:val="center"/>
        </w:trPr>
        <w:tc>
          <w:tcPr>
            <w:tcW w:w="30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Pr="00721307" w:rsidRDefault="00B4758A" w:rsidP="00DD348D">
            <w:pPr>
              <w:keepNext/>
              <w:keepLines/>
              <w:ind w:left="28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45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Pasivo financiero a coste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45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amortizado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c/p</w:t>
            </w:r>
          </w:p>
        </w:tc>
        <w:tc>
          <w:tcPr>
            <w:tcW w:w="104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ind w:right="2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1.363.776,18</w:t>
            </w: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58A" w:rsidRDefault="00B4758A" w:rsidP="00DD348D">
            <w:pPr>
              <w:ind w:right="29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1.180.180,61</w:t>
            </w:r>
          </w:p>
        </w:tc>
      </w:tr>
    </w:tbl>
    <w:p w:rsidR="00B4758A" w:rsidRPr="00A008FA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DC6728">
        <w:rPr>
          <w:rFonts w:ascii="Arial" w:hAnsi="Arial" w:cs="Arial"/>
          <w:sz w:val="20"/>
          <w:szCs w:val="20"/>
        </w:rPr>
        <w:t>El saldo correspondiente a “Pasivo financiero a coste amortizado a l/p” a 31 de diciembre de 2021 asciende a 19.483.105,74 euros (19.205.420,74 euros en el ejercicio anterior), correspondiente a los préstamos recibidos del socio ITER, S.A. por 18.500.000,00 euros y 983.105,74 euros (705.420,74 euros en el ejercicio anterior) de intereses generados por esta financiación (Nota 9).</w:t>
      </w:r>
      <w:r w:rsidRPr="004F314C">
        <w:rPr>
          <w:rFonts w:ascii="Arial" w:hAnsi="Arial" w:cs="Arial"/>
          <w:sz w:val="20"/>
          <w:szCs w:val="20"/>
        </w:rPr>
        <w:t xml:space="preserve"> </w:t>
      </w:r>
    </w:p>
    <w:p w:rsidR="00B4758A" w:rsidRPr="003604CB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detalle de </w:t>
      </w:r>
      <w:r w:rsidRPr="0072459C">
        <w:rPr>
          <w:rFonts w:ascii="Arial" w:hAnsi="Arial" w:cs="Arial"/>
          <w:sz w:val="20"/>
          <w:szCs w:val="20"/>
        </w:rPr>
        <w:t xml:space="preserve">Pasivo financiero a coste amortizado a </w:t>
      </w:r>
      <w:r>
        <w:rPr>
          <w:rFonts w:ascii="Arial" w:hAnsi="Arial" w:cs="Arial"/>
          <w:sz w:val="20"/>
          <w:szCs w:val="20"/>
        </w:rPr>
        <w:t>corto plazo a 31 de diciembre de 2021 y 2020 es el siguiente:</w:t>
      </w:r>
    </w:p>
    <w:tbl>
      <w:tblPr>
        <w:tblW w:w="50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709"/>
        <w:gridCol w:w="1709"/>
      </w:tblGrid>
      <w:tr w:rsidR="00B4758A" w:rsidTr="00DD348D">
        <w:trPr>
          <w:trHeight w:val="283"/>
          <w:jc w:val="center"/>
        </w:trPr>
        <w:tc>
          <w:tcPr>
            <w:tcW w:w="3022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31/12/2021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4758A" w:rsidRDefault="00B4758A" w:rsidP="00DD348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31/12/2020</w:t>
            </w:r>
          </w:p>
        </w:tc>
      </w:tr>
      <w:tr w:rsidR="00B4758A" w:rsidTr="00DD348D">
        <w:trPr>
          <w:trHeight w:val="283"/>
          <w:jc w:val="center"/>
        </w:trPr>
        <w:tc>
          <w:tcPr>
            <w:tcW w:w="3022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Deuda con empresa del grupo por efecto impositivo (Nota 9)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1.351.952,78</w:t>
            </w:r>
          </w:p>
        </w:tc>
        <w:tc>
          <w:tcPr>
            <w:tcW w:w="989" w:type="pct"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1.155.934,37</w:t>
            </w:r>
          </w:p>
        </w:tc>
      </w:tr>
      <w:tr w:rsidR="00B4758A" w:rsidTr="00DD348D">
        <w:trPr>
          <w:trHeight w:val="283"/>
          <w:jc w:val="center"/>
        </w:trPr>
        <w:tc>
          <w:tcPr>
            <w:tcW w:w="30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Acreedores Varios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11.823,40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24.246,24</w:t>
            </w:r>
          </w:p>
        </w:tc>
      </w:tr>
      <w:tr w:rsidR="00B4758A" w:rsidTr="00DD348D">
        <w:trPr>
          <w:trHeight w:val="283"/>
          <w:jc w:val="center"/>
        </w:trPr>
        <w:tc>
          <w:tcPr>
            <w:tcW w:w="3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1.363.776,18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758A" w:rsidRDefault="00B4758A" w:rsidP="00DD348D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1.180.180,61</w:t>
            </w:r>
          </w:p>
        </w:tc>
      </w:tr>
    </w:tbl>
    <w:p w:rsidR="00B4758A" w:rsidRPr="00A008FA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F1373F">
        <w:rPr>
          <w:rFonts w:ascii="Arial" w:hAnsi="Arial" w:cs="Arial"/>
          <w:sz w:val="20"/>
          <w:szCs w:val="20"/>
        </w:rPr>
        <w:t>El epígrafe de “Deuda con empresa de grupo por efecto impositivo” al cierre del ejercicio 2021 asciende a 1.351.952,78 euros (1.155.934,37 euros en el ejercicio anterior) derivada de la consolidación fiscal del grupo ITER.</w:t>
      </w:r>
      <w:r w:rsidRPr="00A008FA">
        <w:rPr>
          <w:rFonts w:ascii="Arial" w:hAnsi="Arial" w:cs="Arial"/>
          <w:sz w:val="20"/>
          <w:szCs w:val="20"/>
        </w:rPr>
        <w:t xml:space="preserve"> </w:t>
      </w:r>
    </w:p>
    <w:p w:rsidR="00B4758A" w:rsidRPr="00193752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93752">
        <w:rPr>
          <w:rFonts w:ascii="Arial" w:hAnsi="Arial" w:cs="Arial"/>
          <w:b/>
          <w:sz w:val="20"/>
          <w:szCs w:val="20"/>
          <w:u w:val="single"/>
        </w:rPr>
        <w:t>Periodificaciones</w:t>
      </w:r>
      <w:proofErr w:type="spellEnd"/>
    </w:p>
    <w:p w:rsidR="00B4758A" w:rsidRPr="00A008FA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F1373F">
        <w:rPr>
          <w:rFonts w:ascii="Arial" w:hAnsi="Arial" w:cs="Arial"/>
          <w:sz w:val="20"/>
          <w:szCs w:val="20"/>
        </w:rPr>
        <w:t xml:space="preserve">A 31 de diciembre de 2021 se recogen las </w:t>
      </w:r>
      <w:proofErr w:type="spellStart"/>
      <w:r w:rsidRPr="00F1373F">
        <w:rPr>
          <w:rFonts w:ascii="Arial" w:hAnsi="Arial" w:cs="Arial"/>
          <w:sz w:val="20"/>
          <w:szCs w:val="20"/>
        </w:rPr>
        <w:t>periodificaciones</w:t>
      </w:r>
      <w:proofErr w:type="spellEnd"/>
      <w:r w:rsidRPr="00F1373F">
        <w:rPr>
          <w:rFonts w:ascii="Arial" w:hAnsi="Arial" w:cs="Arial"/>
          <w:sz w:val="20"/>
          <w:szCs w:val="20"/>
        </w:rPr>
        <w:t xml:space="preserve"> a largo plazo por ingresos anticipados por la cesión de uso de la canalización a la empresa asociada Canarias </w:t>
      </w:r>
      <w:proofErr w:type="spellStart"/>
      <w:r w:rsidRPr="00F1373F">
        <w:rPr>
          <w:rFonts w:ascii="Arial" w:hAnsi="Arial" w:cs="Arial"/>
          <w:sz w:val="20"/>
          <w:szCs w:val="20"/>
        </w:rPr>
        <w:t>Submarine</w:t>
      </w:r>
      <w:proofErr w:type="spellEnd"/>
      <w:r w:rsidRPr="00F1373F">
        <w:rPr>
          <w:rFonts w:ascii="Arial" w:hAnsi="Arial" w:cs="Arial"/>
          <w:sz w:val="20"/>
          <w:szCs w:val="20"/>
        </w:rPr>
        <w:t xml:space="preserve"> Link, S.L.U. por importe de 2.924.833,31 euros (3.142.833,31 euros en el ejercicio anterior), así como las </w:t>
      </w:r>
      <w:proofErr w:type="spellStart"/>
      <w:r w:rsidRPr="00F1373F">
        <w:rPr>
          <w:rFonts w:ascii="Arial" w:hAnsi="Arial" w:cs="Arial"/>
          <w:sz w:val="20"/>
          <w:szCs w:val="20"/>
        </w:rPr>
        <w:t>periodificaciones</w:t>
      </w:r>
      <w:proofErr w:type="spellEnd"/>
      <w:r w:rsidRPr="00F1373F">
        <w:rPr>
          <w:rFonts w:ascii="Arial" w:hAnsi="Arial" w:cs="Arial"/>
          <w:sz w:val="20"/>
          <w:szCs w:val="20"/>
        </w:rPr>
        <w:t xml:space="preserve"> a corto plazo por 218.000 euros (218.000 euros en el ejercicio anterior) por los ingresos anticipados correspondientes al ejercicio 2021.</w:t>
      </w:r>
    </w:p>
    <w:p w:rsidR="00B4758A" w:rsidRPr="00193752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3752">
        <w:rPr>
          <w:rFonts w:ascii="Arial" w:hAnsi="Arial" w:cs="Arial"/>
          <w:b/>
          <w:sz w:val="20"/>
          <w:szCs w:val="20"/>
          <w:u w:val="single"/>
        </w:rPr>
        <w:t xml:space="preserve">Clasificación por vencimientos </w:t>
      </w:r>
    </w:p>
    <w:p w:rsidR="00B4758A" w:rsidRPr="00A008FA" w:rsidRDefault="00B4758A" w:rsidP="00B4758A">
      <w:pPr>
        <w:widowControl w:val="0"/>
        <w:autoSpaceDE w:val="0"/>
        <w:autoSpaceDN w:val="0"/>
        <w:adjustRightInd w:val="0"/>
        <w:spacing w:before="120" w:after="120" w:line="260" w:lineRule="exact"/>
        <w:jc w:val="both"/>
        <w:rPr>
          <w:rFonts w:ascii="Arial" w:hAnsi="Arial" w:cs="Arial"/>
          <w:sz w:val="20"/>
          <w:szCs w:val="20"/>
        </w:rPr>
      </w:pPr>
      <w:r w:rsidRPr="00A008FA">
        <w:rPr>
          <w:rFonts w:ascii="Arial" w:hAnsi="Arial" w:cs="Arial"/>
          <w:sz w:val="20"/>
          <w:szCs w:val="20"/>
        </w:rPr>
        <w:t>Las clasificaciones por vencimien</w:t>
      </w:r>
      <w:r>
        <w:rPr>
          <w:rFonts w:ascii="Arial" w:hAnsi="Arial" w:cs="Arial"/>
          <w:sz w:val="20"/>
          <w:szCs w:val="20"/>
        </w:rPr>
        <w:t>tos de los pasivos financieros a 31 de diciembre de 2021 y 2020 s</w:t>
      </w:r>
      <w:r w:rsidRPr="00A008FA">
        <w:rPr>
          <w:rFonts w:ascii="Arial" w:hAnsi="Arial" w:cs="Arial"/>
          <w:sz w:val="20"/>
          <w:szCs w:val="20"/>
        </w:rPr>
        <w:t>e detallan en el siguiente cuadro: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1191"/>
        <w:gridCol w:w="464"/>
        <w:gridCol w:w="478"/>
        <w:gridCol w:w="478"/>
        <w:gridCol w:w="480"/>
        <w:gridCol w:w="1292"/>
        <w:gridCol w:w="1292"/>
      </w:tblGrid>
      <w:tr w:rsidR="00B4758A" w:rsidRPr="00F566E0" w:rsidTr="00DD348D">
        <w:trPr>
          <w:trHeight w:val="170"/>
        </w:trPr>
        <w:tc>
          <w:tcPr>
            <w:tcW w:w="1723" w:type="pct"/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rPr>
                <w:b/>
                <w:sz w:val="17"/>
                <w:szCs w:val="17"/>
              </w:rPr>
            </w:pPr>
          </w:p>
        </w:tc>
        <w:tc>
          <w:tcPr>
            <w:tcW w:w="3277" w:type="pct"/>
            <w:gridSpan w:val="7"/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Vencimiento en años</w:t>
            </w:r>
          </w:p>
        </w:tc>
      </w:tr>
      <w:tr w:rsidR="00B4758A" w:rsidRPr="00F566E0" w:rsidTr="00DD348D">
        <w:trPr>
          <w:trHeight w:val="170"/>
        </w:trPr>
        <w:tc>
          <w:tcPr>
            <w:tcW w:w="1723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31/12/2021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+ de 5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F566E0" w:rsidRDefault="00B4758A" w:rsidP="00DD348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</w:tr>
      <w:tr w:rsidR="00B4758A" w:rsidRPr="00F566E0" w:rsidTr="00DD348D">
        <w:trPr>
          <w:trHeight w:val="283"/>
        </w:trPr>
        <w:tc>
          <w:tcPr>
            <w:tcW w:w="17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Deudas con </w:t>
            </w:r>
            <w:proofErr w:type="spellStart"/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Eª</w:t>
            </w:r>
            <w:proofErr w:type="spellEnd"/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grupo y </w:t>
            </w:r>
            <w:proofErr w:type="spellStart"/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asoc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1.351.952,78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19.483.105,74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20.835.058,52</w:t>
            </w:r>
          </w:p>
        </w:tc>
      </w:tr>
      <w:tr w:rsidR="00B4758A" w:rsidRPr="00F566E0" w:rsidTr="00DD348D">
        <w:trPr>
          <w:trHeight w:val="283"/>
        </w:trPr>
        <w:tc>
          <w:tcPr>
            <w:tcW w:w="1723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Acreedores comerciales y</w:t>
            </w:r>
          </w:p>
          <w:p w:rsidR="00B4758A" w:rsidRPr="00F566E0" w:rsidRDefault="00B4758A" w:rsidP="00DD348D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otras cuentas a pagar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11.823,40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11.823,40</w:t>
            </w:r>
          </w:p>
        </w:tc>
      </w:tr>
      <w:tr w:rsidR="00B4758A" w:rsidRPr="00F566E0" w:rsidTr="00DD348D">
        <w:trPr>
          <w:trHeight w:val="283"/>
        </w:trPr>
        <w:tc>
          <w:tcPr>
            <w:tcW w:w="17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 xml:space="preserve">    Acreedores varios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B539E" w:rsidRDefault="00B4758A" w:rsidP="00DD348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539E">
              <w:rPr>
                <w:rFonts w:ascii="Arial" w:hAnsi="Arial" w:cs="Arial"/>
                <w:color w:val="000000"/>
                <w:sz w:val="18"/>
                <w:szCs w:val="18"/>
              </w:rPr>
              <w:t>11.823,40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B539E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539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B539E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539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B539E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539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B539E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539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B539E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539E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0B539E" w:rsidRDefault="00B4758A" w:rsidP="00DD348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B539E">
              <w:rPr>
                <w:rFonts w:ascii="Arial" w:hAnsi="Arial" w:cs="Arial"/>
                <w:color w:val="000000"/>
                <w:sz w:val="18"/>
                <w:szCs w:val="18"/>
              </w:rPr>
              <w:t>11.823,40</w:t>
            </w:r>
          </w:p>
        </w:tc>
      </w:tr>
      <w:tr w:rsidR="00B4758A" w:rsidRPr="00F566E0" w:rsidTr="00DD348D">
        <w:trPr>
          <w:trHeight w:val="283"/>
        </w:trPr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1.363.776,18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Pr="00F566E0" w:rsidRDefault="00B4758A" w:rsidP="00DD348D">
            <w:pPr>
              <w:keepNext/>
              <w:keepLines/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19.483.105,74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20.846.881,92</w:t>
            </w:r>
          </w:p>
        </w:tc>
      </w:tr>
    </w:tbl>
    <w:p w:rsidR="00B4758A" w:rsidRPr="00A008FA" w:rsidRDefault="00B4758A" w:rsidP="00B4758A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201"/>
        <w:gridCol w:w="496"/>
        <w:gridCol w:w="500"/>
        <w:gridCol w:w="500"/>
        <w:gridCol w:w="502"/>
        <w:gridCol w:w="1228"/>
        <w:gridCol w:w="1228"/>
      </w:tblGrid>
      <w:tr w:rsidR="00B4758A" w:rsidRPr="00B37F38" w:rsidTr="00DD348D">
        <w:trPr>
          <w:trHeight w:val="170"/>
        </w:trPr>
        <w:tc>
          <w:tcPr>
            <w:tcW w:w="1731" w:type="pct"/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rPr>
                <w:b/>
                <w:sz w:val="17"/>
                <w:szCs w:val="17"/>
              </w:rPr>
            </w:pPr>
          </w:p>
        </w:tc>
        <w:tc>
          <w:tcPr>
            <w:tcW w:w="3269" w:type="pct"/>
            <w:gridSpan w:val="7"/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>Vencimiento en años</w:t>
            </w:r>
          </w:p>
        </w:tc>
      </w:tr>
      <w:tr w:rsidR="00B4758A" w:rsidRPr="00B37F38" w:rsidTr="00DD348D">
        <w:trPr>
          <w:trHeight w:val="170"/>
        </w:trPr>
        <w:tc>
          <w:tcPr>
            <w:tcW w:w="1731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31/12/2020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+</w:t>
            </w: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de 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B4758A" w:rsidRPr="00B37F38" w:rsidRDefault="00B4758A" w:rsidP="00DD34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37F38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</w:tr>
      <w:tr w:rsidR="00B4758A" w:rsidRPr="002D0968" w:rsidTr="00DD348D">
        <w:trPr>
          <w:trHeight w:val="283"/>
        </w:trPr>
        <w:tc>
          <w:tcPr>
            <w:tcW w:w="17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09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Deudas con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Eª</w:t>
            </w:r>
            <w:r w:rsidRPr="002D09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.grupo</w:t>
            </w:r>
            <w:proofErr w:type="spellEnd"/>
            <w:r w:rsidRPr="002D09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2D09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asoc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Pr="000F3E8F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1.155.934,37</w:t>
            </w: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66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19.205.420,74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20.361.355,11</w:t>
            </w:r>
          </w:p>
        </w:tc>
      </w:tr>
      <w:tr w:rsidR="00B4758A" w:rsidRPr="002D0968" w:rsidTr="00DD348D">
        <w:trPr>
          <w:trHeight w:val="283"/>
        </w:trPr>
        <w:tc>
          <w:tcPr>
            <w:tcW w:w="1731" w:type="pct"/>
            <w:shd w:val="clear" w:color="auto" w:fill="auto"/>
            <w:noWrap/>
            <w:vAlign w:val="center"/>
          </w:tcPr>
          <w:p w:rsidR="00B4758A" w:rsidRDefault="00B4758A" w:rsidP="00DD348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09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Acreedores comerciales y</w:t>
            </w:r>
          </w:p>
          <w:p w:rsidR="00B4758A" w:rsidRPr="002D0968" w:rsidRDefault="00B4758A" w:rsidP="00DD348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09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otras cuentas a pagar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B4758A" w:rsidRPr="00B37F38" w:rsidRDefault="00B4758A" w:rsidP="00DD348D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24.246,24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B4758A" w:rsidRPr="00B37F38" w:rsidRDefault="00B4758A" w:rsidP="00DD348D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24.246,24</w:t>
            </w:r>
          </w:p>
        </w:tc>
      </w:tr>
      <w:tr w:rsidR="00B4758A" w:rsidRPr="002D0968" w:rsidTr="00DD348D">
        <w:trPr>
          <w:trHeight w:val="283"/>
        </w:trPr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0968">
              <w:rPr>
                <w:rFonts w:ascii="Arial" w:hAnsi="Arial" w:cs="Arial"/>
                <w:color w:val="000000"/>
                <w:sz w:val="17"/>
                <w:szCs w:val="17"/>
              </w:rPr>
              <w:t xml:space="preserve">    Acreedores varios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24.246,24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2D0968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58A" w:rsidRPr="003C1AE8" w:rsidRDefault="00B4758A" w:rsidP="00DD348D">
            <w:pPr>
              <w:widowControl w:val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24.246,24</w:t>
            </w:r>
          </w:p>
        </w:tc>
      </w:tr>
      <w:tr w:rsidR="00B4758A" w:rsidRPr="002D0968" w:rsidTr="00DD348D">
        <w:trPr>
          <w:trHeight w:val="283"/>
        </w:trPr>
        <w:tc>
          <w:tcPr>
            <w:tcW w:w="1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Pr="002D0968" w:rsidRDefault="00B4758A" w:rsidP="00DD348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096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1.180.180,61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widowControl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566E0">
              <w:rPr>
                <w:rFonts w:ascii="Arial" w:hAnsi="Arial" w:cs="Arial"/>
                <w:color w:val="000000"/>
                <w:sz w:val="17"/>
                <w:szCs w:val="17"/>
              </w:rPr>
              <w:t xml:space="preserve"> -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19.205.420,74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4758A" w:rsidRDefault="00B4758A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20.385.601,35</w:t>
            </w:r>
          </w:p>
        </w:tc>
      </w:tr>
    </w:tbl>
    <w:p w:rsidR="00C579AF" w:rsidRPr="00B4758A" w:rsidRDefault="00B4758A" w:rsidP="00B4758A">
      <w:pPr>
        <w:pStyle w:val="Textoindependiente"/>
        <w:widowControl w:val="0"/>
        <w:spacing w:before="120" w:line="280" w:lineRule="exact"/>
        <w:ind w:right="28"/>
        <w:rPr>
          <w:sz w:val="20"/>
          <w:szCs w:val="20"/>
          <w:lang w:val="es-ES"/>
        </w:rPr>
      </w:pPr>
      <w:r w:rsidRPr="00CA33FD">
        <w:rPr>
          <w:sz w:val="20"/>
          <w:szCs w:val="20"/>
          <w:lang w:val="es-ES"/>
        </w:rPr>
        <w:t>No se mantiene ningún tipo de pólizas de crédito con entidades bancarias.</w:t>
      </w:r>
      <w:bookmarkStart w:id="0" w:name="_GoBack"/>
      <w:bookmarkEnd w:id="0"/>
    </w:p>
    <w:sectPr w:rsidR="00C579AF" w:rsidRPr="00B4758A" w:rsidSect="00AD0AF9">
      <w:headerReference w:type="default" r:id="rId8"/>
      <w:pgSz w:w="11900" w:h="16840"/>
      <w:pgMar w:top="2835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1F" w:rsidRDefault="00C21A1F" w:rsidP="003E5CB9">
      <w:pPr>
        <w:spacing w:after="0" w:line="240" w:lineRule="auto"/>
      </w:pPr>
      <w:r>
        <w:separator/>
      </w:r>
    </w:p>
  </w:endnote>
  <w:end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1F" w:rsidRDefault="00C21A1F" w:rsidP="003E5CB9">
      <w:pPr>
        <w:spacing w:after="0" w:line="240" w:lineRule="auto"/>
      </w:pPr>
      <w:r>
        <w:separator/>
      </w:r>
    </w:p>
  </w:footnote>
  <w:foot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B9" w:rsidRDefault="003E5CB9" w:rsidP="00442319">
    <w:pPr>
      <w:pStyle w:val="Encabezado"/>
    </w:pPr>
  </w:p>
  <w:p w:rsidR="00442319" w:rsidRDefault="00442319" w:rsidP="00442319">
    <w:pPr>
      <w:pStyle w:val="Encabezado"/>
    </w:pPr>
  </w:p>
  <w:p w:rsidR="00442319" w:rsidRPr="00442319" w:rsidRDefault="00E30F86" w:rsidP="00AD0AF9">
    <w:pPr>
      <w:pStyle w:val="Encabezado"/>
      <w:tabs>
        <w:tab w:val="clear" w:pos="4252"/>
        <w:tab w:val="clear" w:pos="8504"/>
        <w:tab w:val="left" w:pos="652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259715</wp:posOffset>
          </wp:positionV>
          <wp:extent cx="523875" cy="647065"/>
          <wp:effectExtent l="0" t="0" r="9525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201931</wp:posOffset>
          </wp:positionV>
          <wp:extent cx="428625" cy="705326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08" cy="72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AF9">
      <w:tab/>
    </w:r>
    <w:r w:rsidR="00AD0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F43"/>
    <w:multiLevelType w:val="hybridMultilevel"/>
    <w:tmpl w:val="EC58A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64C"/>
    <w:multiLevelType w:val="hybridMultilevel"/>
    <w:tmpl w:val="7D56E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8C5"/>
    <w:multiLevelType w:val="hybridMultilevel"/>
    <w:tmpl w:val="814E2EF2"/>
    <w:lvl w:ilvl="0" w:tplc="478E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489C4B05"/>
    <w:multiLevelType w:val="hybridMultilevel"/>
    <w:tmpl w:val="A9907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B7E41"/>
    <w:multiLevelType w:val="hybridMultilevel"/>
    <w:tmpl w:val="8C3A0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0"/>
    <w:rsid w:val="00054756"/>
    <w:rsid w:val="000C42FC"/>
    <w:rsid w:val="000F56C9"/>
    <w:rsid w:val="0010454F"/>
    <w:rsid w:val="001922A8"/>
    <w:rsid w:val="0019366C"/>
    <w:rsid w:val="00194AD0"/>
    <w:rsid w:val="001A3624"/>
    <w:rsid w:val="001A7DEF"/>
    <w:rsid w:val="00230D99"/>
    <w:rsid w:val="00241115"/>
    <w:rsid w:val="00265F3F"/>
    <w:rsid w:val="002C3558"/>
    <w:rsid w:val="002F6541"/>
    <w:rsid w:val="003063C8"/>
    <w:rsid w:val="0034359A"/>
    <w:rsid w:val="00397C4D"/>
    <w:rsid w:val="003E1B87"/>
    <w:rsid w:val="003E5CB9"/>
    <w:rsid w:val="004311A8"/>
    <w:rsid w:val="00442319"/>
    <w:rsid w:val="00495247"/>
    <w:rsid w:val="005558C3"/>
    <w:rsid w:val="005601A2"/>
    <w:rsid w:val="00575B97"/>
    <w:rsid w:val="005A7055"/>
    <w:rsid w:val="005C4BA5"/>
    <w:rsid w:val="005D3754"/>
    <w:rsid w:val="005E1695"/>
    <w:rsid w:val="005F1B6C"/>
    <w:rsid w:val="0064460C"/>
    <w:rsid w:val="006474CD"/>
    <w:rsid w:val="006D50D5"/>
    <w:rsid w:val="00701963"/>
    <w:rsid w:val="00747268"/>
    <w:rsid w:val="00764756"/>
    <w:rsid w:val="007A4C65"/>
    <w:rsid w:val="007B51AC"/>
    <w:rsid w:val="007D39EB"/>
    <w:rsid w:val="008129C9"/>
    <w:rsid w:val="00835EFA"/>
    <w:rsid w:val="00865B6B"/>
    <w:rsid w:val="0089488C"/>
    <w:rsid w:val="008E263A"/>
    <w:rsid w:val="008E3568"/>
    <w:rsid w:val="00943A8B"/>
    <w:rsid w:val="00946028"/>
    <w:rsid w:val="009764CA"/>
    <w:rsid w:val="0098193D"/>
    <w:rsid w:val="009E3B2D"/>
    <w:rsid w:val="00A04CE7"/>
    <w:rsid w:val="00A35D3E"/>
    <w:rsid w:val="00A460A3"/>
    <w:rsid w:val="00A6066B"/>
    <w:rsid w:val="00A75DBD"/>
    <w:rsid w:val="00AA46C7"/>
    <w:rsid w:val="00AD0AF9"/>
    <w:rsid w:val="00B4758A"/>
    <w:rsid w:val="00B707B5"/>
    <w:rsid w:val="00BB5666"/>
    <w:rsid w:val="00BE2D53"/>
    <w:rsid w:val="00C06D60"/>
    <w:rsid w:val="00C21A1F"/>
    <w:rsid w:val="00C224B6"/>
    <w:rsid w:val="00C579AF"/>
    <w:rsid w:val="00C65DF8"/>
    <w:rsid w:val="00CA3EB1"/>
    <w:rsid w:val="00CE4CFC"/>
    <w:rsid w:val="00D6698D"/>
    <w:rsid w:val="00D833BB"/>
    <w:rsid w:val="00DA3D80"/>
    <w:rsid w:val="00DC0C4C"/>
    <w:rsid w:val="00DF1A7A"/>
    <w:rsid w:val="00E02CAA"/>
    <w:rsid w:val="00E30F86"/>
    <w:rsid w:val="00E652A0"/>
    <w:rsid w:val="00E97031"/>
    <w:rsid w:val="00EB119F"/>
    <w:rsid w:val="00F04E82"/>
    <w:rsid w:val="00F2470A"/>
    <w:rsid w:val="00F34BC2"/>
    <w:rsid w:val="00F51EC1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  <w:style w:type="paragraph" w:styleId="Textoindependiente">
    <w:name w:val="Body Text"/>
    <w:basedOn w:val="Normal"/>
    <w:link w:val="TextoindependienteCar"/>
    <w:uiPriority w:val="99"/>
    <w:rsid w:val="00B4758A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noProof/>
      <w:color w:val="000000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758A"/>
    <w:rPr>
      <w:rFonts w:ascii="Arial" w:eastAsia="Times New Roman" w:hAnsi="Arial" w:cs="Arial"/>
      <w:noProof/>
      <w:color w:val="000000"/>
      <w:sz w:val="24"/>
      <w:szCs w:val="24"/>
      <w:lang w:val="en-US" w:eastAsia="es-ES"/>
    </w:rPr>
  </w:style>
  <w:style w:type="paragraph" w:customStyle="1" w:styleId="Prrafodelista1">
    <w:name w:val="Párrafo de lista1"/>
    <w:basedOn w:val="Normal"/>
    <w:uiPriority w:val="34"/>
    <w:qFormat/>
    <w:rsid w:val="00B47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  <w:style w:type="paragraph" w:styleId="Textoindependiente">
    <w:name w:val="Body Text"/>
    <w:basedOn w:val="Normal"/>
    <w:link w:val="TextoindependienteCar"/>
    <w:uiPriority w:val="99"/>
    <w:rsid w:val="00B4758A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noProof/>
      <w:color w:val="000000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758A"/>
    <w:rPr>
      <w:rFonts w:ascii="Arial" w:eastAsia="Times New Roman" w:hAnsi="Arial" w:cs="Arial"/>
      <w:noProof/>
      <w:color w:val="000000"/>
      <w:sz w:val="24"/>
      <w:szCs w:val="24"/>
      <w:lang w:val="en-US" w:eastAsia="es-ES"/>
    </w:rPr>
  </w:style>
  <w:style w:type="paragraph" w:customStyle="1" w:styleId="Prrafodelista1">
    <w:name w:val="Párrafo de lista1"/>
    <w:basedOn w:val="Normal"/>
    <w:uiPriority w:val="34"/>
    <w:qFormat/>
    <w:rsid w:val="00B47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Ballesteros</dc:creator>
  <cp:lastModifiedBy>Maite Delamo del Castillo</cp:lastModifiedBy>
  <cp:revision>3</cp:revision>
  <cp:lastPrinted>2022-06-16T11:56:00Z</cp:lastPrinted>
  <dcterms:created xsi:type="dcterms:W3CDTF">2022-06-16T11:56:00Z</dcterms:created>
  <dcterms:modified xsi:type="dcterms:W3CDTF">2022-06-16T11:57:00Z</dcterms:modified>
</cp:coreProperties>
</file>