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EF9A" w14:textId="1672C172" w:rsidR="00C579AF" w:rsidRPr="00045284" w:rsidRDefault="00045284" w:rsidP="00045284">
      <w:pPr>
        <w:rPr>
          <w:b/>
          <w:bCs/>
        </w:rPr>
      </w:pPr>
      <w:r w:rsidRPr="00045284">
        <w:rPr>
          <w:b/>
          <w:bCs/>
        </w:rPr>
        <w:t>2 ORGANIZATIVA</w:t>
      </w:r>
    </w:p>
    <w:p w14:paraId="4B73EDE8" w14:textId="16AB2783" w:rsidR="00045284" w:rsidRPr="00045284" w:rsidRDefault="00045284" w:rsidP="00045284">
      <w:pPr>
        <w:rPr>
          <w:b/>
          <w:bCs/>
        </w:rPr>
      </w:pPr>
      <w:r w:rsidRPr="00045284">
        <w:rPr>
          <w:b/>
          <w:bCs/>
        </w:rPr>
        <w:t>2.7 Capital social</w:t>
      </w:r>
    </w:p>
    <w:p w14:paraId="648DDE23" w14:textId="77777777" w:rsidR="00045284" w:rsidRPr="00366D4B" w:rsidRDefault="00045284" w:rsidP="0004528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En el ejercicio 2009, La Sociedad suscribe participaciones sociales de la entidad “Canarias Submarine Link, SL”, domiciliada en el Polígono Industrial de Granadilla, Granadilla de Abona y con CIF B35808468. La participación inicial de IT3 en Canarias Submarine Link fue del 50% valorada en 614.714,99 euros, de los cuales 478.340,00 euros corresponden al capital social suscrito y 136.374,99 euros a prima de emisión. </w:t>
      </w:r>
    </w:p>
    <w:p w14:paraId="318FCBBE" w14:textId="77777777" w:rsidR="00045284" w:rsidRPr="00366D4B" w:rsidRDefault="00045284" w:rsidP="0004528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19 de enero de 2011 se elevó a público la ampliación de capital de la Sociedad Canarias Submarine Link SL. En esta ampliación IT3 asume 1.780.744 nuevas participaciones valoradas en 14.385.292,68 euros, de los cuales 1.780.744 euros corresponden al nuevo capital suscrito y 12.604.548,55 euros a prima de emisión.</w:t>
      </w:r>
    </w:p>
    <w:p w14:paraId="7488087E" w14:textId="77777777" w:rsidR="00045284" w:rsidRPr="00366D4B" w:rsidRDefault="00045284" w:rsidP="00045284">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El 30 de abril de 2013 se elevó a público la compra a </w:t>
      </w:r>
      <w:proofErr w:type="spellStart"/>
      <w:r w:rsidRPr="00366D4B">
        <w:rPr>
          <w:rFonts w:ascii="Arial" w:hAnsi="Arial" w:cs="Arial"/>
          <w:sz w:val="20"/>
          <w:szCs w:val="20"/>
        </w:rPr>
        <w:t>Canalink</w:t>
      </w:r>
      <w:proofErr w:type="spellEnd"/>
      <w:r w:rsidRPr="00366D4B">
        <w:rPr>
          <w:rFonts w:ascii="Arial" w:hAnsi="Arial" w:cs="Arial"/>
          <w:sz w:val="20"/>
          <w:szCs w:val="20"/>
        </w:rPr>
        <w:t xml:space="preserve"> </w:t>
      </w:r>
      <w:proofErr w:type="spellStart"/>
      <w:r w:rsidRPr="00366D4B">
        <w:rPr>
          <w:rFonts w:ascii="Arial" w:hAnsi="Arial" w:cs="Arial"/>
          <w:sz w:val="20"/>
          <w:szCs w:val="20"/>
        </w:rPr>
        <w:t>Holdco</w:t>
      </w:r>
      <w:proofErr w:type="spellEnd"/>
      <w:r w:rsidRPr="00366D4B">
        <w:rPr>
          <w:rFonts w:ascii="Arial" w:hAnsi="Arial" w:cs="Arial"/>
          <w:sz w:val="20"/>
          <w:szCs w:val="20"/>
        </w:rPr>
        <w:t xml:space="preserve"> de 1.904.598 participaciones por valor de 12.000.000 euros, correspondiente a las participaciones numeradas de la </w:t>
      </w:r>
      <w:smartTag w:uri="urn:schemas-microsoft-com:office:smarttags" w:element="metricconverter">
        <w:smartTagPr>
          <w:attr w:name="ProductID" w:val="1 a"/>
        </w:smartTagPr>
        <w:r w:rsidRPr="00366D4B">
          <w:rPr>
            <w:rFonts w:ascii="Arial" w:hAnsi="Arial" w:cs="Arial"/>
            <w:sz w:val="20"/>
            <w:szCs w:val="20"/>
          </w:rPr>
          <w:t>1 a</w:t>
        </w:r>
      </w:smartTag>
      <w:r w:rsidRPr="00366D4B">
        <w:rPr>
          <w:rFonts w:ascii="Arial" w:hAnsi="Arial" w:cs="Arial"/>
          <w:sz w:val="20"/>
          <w:szCs w:val="20"/>
        </w:rPr>
        <w:t xml:space="preserve"> la 478.340 y de la </w:t>
      </w:r>
      <w:smartTag w:uri="urn:schemas-microsoft-com:office:smarttags" w:element="metricconverter">
        <w:smartTagPr>
          <w:attr w:name="ProductID" w:val="956.681 a"/>
        </w:smartTagPr>
        <w:r w:rsidRPr="00366D4B">
          <w:rPr>
            <w:rFonts w:ascii="Arial" w:hAnsi="Arial" w:cs="Arial"/>
            <w:sz w:val="20"/>
            <w:szCs w:val="20"/>
          </w:rPr>
          <w:t>956.681 a</w:t>
        </w:r>
      </w:smartTag>
      <w:r w:rsidRPr="00366D4B">
        <w:rPr>
          <w:rFonts w:ascii="Arial" w:hAnsi="Arial" w:cs="Arial"/>
          <w:sz w:val="20"/>
          <w:szCs w:val="20"/>
        </w:rPr>
        <w:t xml:space="preserve"> la 2.382.938 de la Sociedad Canarias Submarine Link. En consecuencia, Instituto Tecnológico y de Telecomunicaciones de Tenerife asume el 100% del Capital Social, convirtiéndose en el socio único de esta Sociedad.</w:t>
      </w:r>
    </w:p>
    <w:p w14:paraId="21BACD20" w14:textId="77777777" w:rsidR="00045284" w:rsidRPr="00366D4B" w:rsidRDefault="00045284" w:rsidP="00045284">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resumen de los fondos propios, según sus cuentas anuales auditadas del ejercicio 2023, se muestra a continuación, en euros:</w:t>
      </w:r>
    </w:p>
    <w:tbl>
      <w:tblPr>
        <w:tblW w:w="5000" w:type="pct"/>
        <w:tblCellMar>
          <w:left w:w="70" w:type="dxa"/>
          <w:right w:w="70" w:type="dxa"/>
        </w:tblCellMar>
        <w:tblLook w:val="04A0" w:firstRow="1" w:lastRow="0" w:firstColumn="1" w:lastColumn="0" w:noHBand="0" w:noVBand="1"/>
      </w:tblPr>
      <w:tblGrid>
        <w:gridCol w:w="2573"/>
        <w:gridCol w:w="1027"/>
        <w:gridCol w:w="1175"/>
        <w:gridCol w:w="1274"/>
        <w:gridCol w:w="1175"/>
        <w:gridCol w:w="1274"/>
      </w:tblGrid>
      <w:tr w:rsidR="00045284" w:rsidRPr="00366D4B" w14:paraId="153E03D7" w14:textId="77777777" w:rsidTr="00736390">
        <w:trPr>
          <w:trHeight w:val="460"/>
        </w:trPr>
        <w:tc>
          <w:tcPr>
            <w:tcW w:w="1471" w:type="pct"/>
            <w:tcBorders>
              <w:top w:val="single" w:sz="4" w:space="0" w:color="auto"/>
              <w:bottom w:val="single" w:sz="4" w:space="0" w:color="auto"/>
            </w:tcBorders>
            <w:shd w:val="clear" w:color="000000" w:fill="D9D9D9"/>
            <w:noWrap/>
            <w:vAlign w:val="bottom"/>
          </w:tcPr>
          <w:p w14:paraId="165C0823"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Sociedad</w:t>
            </w:r>
          </w:p>
        </w:tc>
        <w:tc>
          <w:tcPr>
            <w:tcW w:w="618" w:type="pct"/>
            <w:tcBorders>
              <w:top w:val="single" w:sz="4" w:space="0" w:color="auto"/>
              <w:bottom w:val="single" w:sz="4" w:space="0" w:color="auto"/>
            </w:tcBorders>
            <w:shd w:val="clear" w:color="000000" w:fill="D9D9D9"/>
            <w:vAlign w:val="bottom"/>
          </w:tcPr>
          <w:p w14:paraId="63B0F371"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Fecha Balance</w:t>
            </w:r>
          </w:p>
        </w:tc>
        <w:tc>
          <w:tcPr>
            <w:tcW w:w="752" w:type="pct"/>
            <w:tcBorders>
              <w:top w:val="single" w:sz="4" w:space="0" w:color="auto"/>
              <w:bottom w:val="single" w:sz="4" w:space="0" w:color="auto"/>
            </w:tcBorders>
            <w:shd w:val="clear" w:color="000000" w:fill="D9D9D9"/>
            <w:vAlign w:val="bottom"/>
          </w:tcPr>
          <w:p w14:paraId="16780FE5"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Capital Social</w:t>
            </w:r>
          </w:p>
        </w:tc>
        <w:tc>
          <w:tcPr>
            <w:tcW w:w="753" w:type="pct"/>
            <w:tcBorders>
              <w:top w:val="single" w:sz="4" w:space="0" w:color="auto"/>
              <w:bottom w:val="single" w:sz="4" w:space="0" w:color="auto"/>
            </w:tcBorders>
            <w:shd w:val="clear" w:color="000000" w:fill="D9D9D9"/>
            <w:vAlign w:val="bottom"/>
          </w:tcPr>
          <w:p w14:paraId="17066F81"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Reservas y otros</w:t>
            </w:r>
          </w:p>
        </w:tc>
        <w:tc>
          <w:tcPr>
            <w:tcW w:w="667" w:type="pct"/>
            <w:tcBorders>
              <w:top w:val="single" w:sz="4" w:space="0" w:color="auto"/>
              <w:bottom w:val="single" w:sz="4" w:space="0" w:color="auto"/>
            </w:tcBorders>
            <w:shd w:val="clear" w:color="000000" w:fill="D9D9D9"/>
            <w:vAlign w:val="bottom"/>
          </w:tcPr>
          <w:p w14:paraId="6CF05AE3"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Resultado</w:t>
            </w:r>
          </w:p>
        </w:tc>
        <w:tc>
          <w:tcPr>
            <w:tcW w:w="739" w:type="pct"/>
            <w:tcBorders>
              <w:top w:val="single" w:sz="4" w:space="0" w:color="auto"/>
              <w:bottom w:val="single" w:sz="4" w:space="0" w:color="auto"/>
            </w:tcBorders>
            <w:shd w:val="clear" w:color="000000" w:fill="D9D9D9"/>
            <w:vAlign w:val="bottom"/>
          </w:tcPr>
          <w:p w14:paraId="5BDBAB0D" w14:textId="77777777" w:rsidR="00045284" w:rsidRPr="00366D4B" w:rsidRDefault="00045284" w:rsidP="00736390">
            <w:pPr>
              <w:jc w:val="center"/>
              <w:rPr>
                <w:rFonts w:ascii="Arial" w:hAnsi="Arial" w:cs="Arial"/>
                <w:b/>
                <w:bCs/>
                <w:color w:val="000000"/>
                <w:sz w:val="18"/>
                <w:szCs w:val="18"/>
              </w:rPr>
            </w:pPr>
            <w:r w:rsidRPr="00366D4B">
              <w:rPr>
                <w:rFonts w:ascii="Arial" w:hAnsi="Arial" w:cs="Arial"/>
                <w:b/>
                <w:bCs/>
                <w:color w:val="000000"/>
                <w:sz w:val="18"/>
                <w:szCs w:val="18"/>
              </w:rPr>
              <w:t>Patrimonio Neto</w:t>
            </w:r>
          </w:p>
        </w:tc>
      </w:tr>
      <w:tr w:rsidR="00045284" w:rsidRPr="00366D4B" w14:paraId="0B928B0C" w14:textId="77777777" w:rsidTr="00736390">
        <w:trPr>
          <w:trHeight w:val="397"/>
        </w:trPr>
        <w:tc>
          <w:tcPr>
            <w:tcW w:w="1471" w:type="pct"/>
            <w:tcBorders>
              <w:top w:val="single" w:sz="4" w:space="0" w:color="auto"/>
              <w:bottom w:val="single" w:sz="4" w:space="0" w:color="auto"/>
            </w:tcBorders>
            <w:shd w:val="clear" w:color="auto" w:fill="auto"/>
            <w:noWrap/>
            <w:vAlign w:val="center"/>
          </w:tcPr>
          <w:p w14:paraId="07261B16" w14:textId="77777777" w:rsidR="00045284" w:rsidRPr="00366D4B" w:rsidRDefault="00045284" w:rsidP="00736390">
            <w:pPr>
              <w:rPr>
                <w:rFonts w:ascii="Arial" w:hAnsi="Arial" w:cs="Arial"/>
                <w:color w:val="000000"/>
                <w:sz w:val="18"/>
                <w:szCs w:val="18"/>
              </w:rPr>
            </w:pPr>
            <w:r w:rsidRPr="00366D4B">
              <w:rPr>
                <w:rFonts w:ascii="Arial" w:hAnsi="Arial" w:cs="Arial"/>
                <w:color w:val="000000"/>
                <w:sz w:val="18"/>
                <w:szCs w:val="18"/>
              </w:rPr>
              <w:t>Canarias Submarine Link, SLU</w:t>
            </w:r>
          </w:p>
        </w:tc>
        <w:tc>
          <w:tcPr>
            <w:tcW w:w="618" w:type="pct"/>
            <w:tcBorders>
              <w:top w:val="single" w:sz="4" w:space="0" w:color="auto"/>
              <w:bottom w:val="single" w:sz="4" w:space="0" w:color="auto"/>
            </w:tcBorders>
            <w:shd w:val="clear" w:color="auto" w:fill="auto"/>
            <w:noWrap/>
            <w:vAlign w:val="center"/>
          </w:tcPr>
          <w:p w14:paraId="5BE9D583" w14:textId="77777777" w:rsidR="00045284" w:rsidRPr="00366D4B" w:rsidRDefault="00045284" w:rsidP="00736390">
            <w:pPr>
              <w:jc w:val="right"/>
              <w:rPr>
                <w:rFonts w:ascii="Arial" w:hAnsi="Arial" w:cs="Arial"/>
                <w:color w:val="000000"/>
                <w:sz w:val="18"/>
                <w:szCs w:val="18"/>
              </w:rPr>
            </w:pPr>
            <w:r w:rsidRPr="00366D4B">
              <w:rPr>
                <w:rFonts w:ascii="Arial" w:hAnsi="Arial" w:cs="Arial"/>
                <w:color w:val="000000"/>
                <w:sz w:val="18"/>
                <w:szCs w:val="18"/>
              </w:rPr>
              <w:t xml:space="preserve">31/12/2023    </w:t>
            </w:r>
          </w:p>
        </w:tc>
        <w:tc>
          <w:tcPr>
            <w:tcW w:w="752" w:type="pct"/>
            <w:tcBorders>
              <w:top w:val="single" w:sz="4" w:space="0" w:color="auto"/>
              <w:left w:val="nil"/>
              <w:bottom w:val="single" w:sz="4" w:space="0" w:color="auto"/>
              <w:right w:val="nil"/>
            </w:tcBorders>
            <w:shd w:val="clear" w:color="auto" w:fill="auto"/>
            <w:noWrap/>
            <w:vAlign w:val="center"/>
          </w:tcPr>
          <w:p w14:paraId="34B0D71C" w14:textId="77777777" w:rsidR="00045284" w:rsidRPr="00366D4B" w:rsidRDefault="00045284" w:rsidP="00736390">
            <w:pPr>
              <w:rPr>
                <w:rFonts w:ascii="Arial" w:hAnsi="Arial" w:cs="Arial"/>
                <w:color w:val="000000"/>
                <w:sz w:val="18"/>
                <w:szCs w:val="18"/>
              </w:rPr>
            </w:pPr>
            <w:r w:rsidRPr="00366D4B">
              <w:rPr>
                <w:rFonts w:ascii="Arial" w:hAnsi="Arial" w:cs="Arial"/>
                <w:color w:val="000000"/>
                <w:sz w:val="18"/>
                <w:szCs w:val="18"/>
              </w:rPr>
              <w:t>4.163.682,00</w:t>
            </w:r>
          </w:p>
        </w:tc>
        <w:tc>
          <w:tcPr>
            <w:tcW w:w="753" w:type="pct"/>
            <w:tcBorders>
              <w:top w:val="single" w:sz="4" w:space="0" w:color="auto"/>
              <w:left w:val="nil"/>
              <w:bottom w:val="single" w:sz="4" w:space="0" w:color="auto"/>
              <w:right w:val="nil"/>
            </w:tcBorders>
            <w:shd w:val="clear" w:color="auto" w:fill="auto"/>
            <w:noWrap/>
            <w:vAlign w:val="center"/>
          </w:tcPr>
          <w:p w14:paraId="7F3922D0" w14:textId="77777777" w:rsidR="00045284" w:rsidRPr="00366D4B" w:rsidRDefault="00045284" w:rsidP="00736390">
            <w:pPr>
              <w:rPr>
                <w:rFonts w:ascii="Arial" w:hAnsi="Arial" w:cs="Arial"/>
                <w:color w:val="000000"/>
                <w:sz w:val="18"/>
                <w:szCs w:val="18"/>
              </w:rPr>
            </w:pPr>
            <w:r w:rsidRPr="00366D4B">
              <w:rPr>
                <w:rFonts w:ascii="Arial" w:hAnsi="Arial" w:cs="Arial"/>
                <w:color w:val="000000"/>
                <w:sz w:val="18"/>
                <w:szCs w:val="18"/>
              </w:rPr>
              <w:t>62.433.855,58</w:t>
            </w:r>
          </w:p>
        </w:tc>
        <w:tc>
          <w:tcPr>
            <w:tcW w:w="667" w:type="pct"/>
            <w:tcBorders>
              <w:top w:val="single" w:sz="4" w:space="0" w:color="auto"/>
              <w:left w:val="nil"/>
              <w:bottom w:val="single" w:sz="4" w:space="0" w:color="auto"/>
              <w:right w:val="nil"/>
            </w:tcBorders>
            <w:shd w:val="clear" w:color="auto" w:fill="auto"/>
            <w:noWrap/>
            <w:vAlign w:val="center"/>
          </w:tcPr>
          <w:p w14:paraId="4DF97701" w14:textId="77777777" w:rsidR="00045284" w:rsidRPr="00366D4B" w:rsidRDefault="00045284" w:rsidP="00736390">
            <w:pPr>
              <w:jc w:val="right"/>
              <w:rPr>
                <w:rFonts w:ascii="Arial" w:hAnsi="Arial" w:cs="Arial"/>
                <w:color w:val="000000"/>
                <w:sz w:val="18"/>
                <w:szCs w:val="18"/>
              </w:rPr>
            </w:pPr>
            <w:r w:rsidRPr="00366D4B">
              <w:rPr>
                <w:rFonts w:ascii="Arial" w:hAnsi="Arial" w:cs="Arial"/>
                <w:color w:val="000000"/>
                <w:sz w:val="18"/>
                <w:szCs w:val="18"/>
              </w:rPr>
              <w:t>4.274.197,86</w:t>
            </w:r>
          </w:p>
        </w:tc>
        <w:tc>
          <w:tcPr>
            <w:tcW w:w="739" w:type="pct"/>
            <w:tcBorders>
              <w:top w:val="single" w:sz="4" w:space="0" w:color="auto"/>
              <w:left w:val="nil"/>
              <w:bottom w:val="single" w:sz="4" w:space="0" w:color="auto"/>
              <w:right w:val="nil"/>
            </w:tcBorders>
            <w:shd w:val="clear" w:color="auto" w:fill="auto"/>
            <w:noWrap/>
            <w:vAlign w:val="center"/>
          </w:tcPr>
          <w:p w14:paraId="76573B80" w14:textId="77777777" w:rsidR="00045284" w:rsidRPr="00366D4B" w:rsidRDefault="00045284" w:rsidP="00736390">
            <w:pPr>
              <w:jc w:val="right"/>
              <w:rPr>
                <w:rFonts w:ascii="Arial" w:hAnsi="Arial" w:cs="Arial"/>
                <w:color w:val="000000"/>
                <w:sz w:val="18"/>
                <w:szCs w:val="18"/>
              </w:rPr>
            </w:pPr>
            <w:r w:rsidRPr="00366D4B">
              <w:rPr>
                <w:rFonts w:ascii="Arial" w:hAnsi="Arial" w:cs="Arial"/>
                <w:color w:val="000000"/>
                <w:sz w:val="18"/>
                <w:szCs w:val="18"/>
              </w:rPr>
              <w:t>70.871.735,44</w:t>
            </w:r>
          </w:p>
        </w:tc>
      </w:tr>
    </w:tbl>
    <w:p w14:paraId="0FED146B" w14:textId="77777777" w:rsidR="00045284" w:rsidRPr="00366D4B" w:rsidRDefault="00045284" w:rsidP="00045284">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366D4B">
        <w:rPr>
          <w:rFonts w:ascii="Arial" w:hAnsi="Arial" w:cs="Arial"/>
          <w:sz w:val="20"/>
          <w:szCs w:val="20"/>
        </w:rPr>
        <w:t>El valor de la inversión a 31 de diciembre de 2023 y 2022 en Canarias Submarine Link, SLU es de 27.000.007,61 euros.</w:t>
      </w:r>
    </w:p>
    <w:p w14:paraId="3F1786A9" w14:textId="77777777" w:rsidR="00045284" w:rsidRPr="00045284" w:rsidRDefault="00045284" w:rsidP="00045284"/>
    <w:sectPr w:rsidR="00045284" w:rsidRPr="00045284" w:rsidSect="00AD0AF9">
      <w:headerReference w:type="default" r:id="rId7"/>
      <w:pgSz w:w="11900" w:h="16840"/>
      <w:pgMar w:top="2835" w:right="1701" w:bottom="2268"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3165" w14:textId="77777777" w:rsidR="00C21A1F" w:rsidRDefault="00C21A1F" w:rsidP="003E5CB9">
      <w:pPr>
        <w:spacing w:after="0" w:line="240" w:lineRule="auto"/>
      </w:pPr>
      <w:r>
        <w:separator/>
      </w:r>
    </w:p>
  </w:endnote>
  <w:endnote w:type="continuationSeparator" w:id="0">
    <w:p w14:paraId="38CCFF02" w14:textId="77777777" w:rsidR="00C21A1F" w:rsidRDefault="00C21A1F" w:rsidP="003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D4CB" w14:textId="77777777" w:rsidR="00C21A1F" w:rsidRDefault="00C21A1F" w:rsidP="003E5CB9">
      <w:pPr>
        <w:spacing w:after="0" w:line="240" w:lineRule="auto"/>
      </w:pPr>
      <w:r>
        <w:separator/>
      </w:r>
    </w:p>
  </w:footnote>
  <w:footnote w:type="continuationSeparator" w:id="0">
    <w:p w14:paraId="7253C07F" w14:textId="77777777" w:rsidR="00C21A1F" w:rsidRDefault="00C21A1F" w:rsidP="003E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1E3A" w14:textId="77777777" w:rsidR="003E5CB9" w:rsidRDefault="003E5CB9" w:rsidP="00442319">
    <w:pPr>
      <w:pStyle w:val="Encabezado"/>
    </w:pPr>
  </w:p>
  <w:p w14:paraId="5A9754A9" w14:textId="77777777" w:rsidR="00442319" w:rsidRDefault="00442319" w:rsidP="00442319">
    <w:pPr>
      <w:pStyle w:val="Encabezado"/>
    </w:pPr>
  </w:p>
  <w:p w14:paraId="7A97BD12" w14:textId="77777777" w:rsidR="00442319" w:rsidRPr="00442319" w:rsidRDefault="00E30F86" w:rsidP="00AD0AF9">
    <w:pPr>
      <w:pStyle w:val="Encabezado"/>
      <w:tabs>
        <w:tab w:val="clear" w:pos="4252"/>
        <w:tab w:val="clear" w:pos="8504"/>
        <w:tab w:val="left" w:pos="6525"/>
      </w:tabs>
    </w:pPr>
    <w:r>
      <w:rPr>
        <w:noProof/>
        <w:lang w:eastAsia="es-ES"/>
      </w:rPr>
      <w:drawing>
        <wp:anchor distT="0" distB="0" distL="114300" distR="114300" simplePos="0" relativeHeight="251658240" behindDoc="0" locked="0" layoutInCell="1" allowOverlap="1" wp14:anchorId="2B2811D0" wp14:editId="3B4010FC">
          <wp:simplePos x="0" y="0"/>
          <wp:positionH relativeFrom="column">
            <wp:posOffset>4920615</wp:posOffset>
          </wp:positionH>
          <wp:positionV relativeFrom="paragraph">
            <wp:posOffset>259715</wp:posOffset>
          </wp:positionV>
          <wp:extent cx="52387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23D864C5" wp14:editId="3F9EAF82">
          <wp:simplePos x="0" y="0"/>
          <wp:positionH relativeFrom="column">
            <wp:posOffset>-60960</wp:posOffset>
          </wp:positionH>
          <wp:positionV relativeFrom="paragraph">
            <wp:posOffset>201931</wp:posOffset>
          </wp:positionV>
          <wp:extent cx="428625" cy="705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608" cy="725045"/>
                  </a:xfrm>
                  <a:prstGeom prst="rect">
                    <a:avLst/>
                  </a:prstGeom>
                  <a:noFill/>
                </pic:spPr>
              </pic:pic>
            </a:graphicData>
          </a:graphic>
          <wp14:sizeRelH relativeFrom="margin">
            <wp14:pctWidth>0</wp14:pctWidth>
          </wp14:sizeRelH>
          <wp14:sizeRelV relativeFrom="margin">
            <wp14:pctHeight>0</wp14:pctHeight>
          </wp14:sizeRelV>
        </wp:anchor>
      </w:drawing>
    </w:r>
    <w:r w:rsidR="00AD0AF9">
      <w:tab/>
    </w:r>
    <w:r w:rsidR="00AD0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581"/>
    <w:multiLevelType w:val="hybridMultilevel"/>
    <w:tmpl w:val="5436EC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4A664C"/>
    <w:multiLevelType w:val="hybridMultilevel"/>
    <w:tmpl w:val="7D56E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9C4B05"/>
    <w:multiLevelType w:val="hybridMultilevel"/>
    <w:tmpl w:val="A9907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4C17A0"/>
    <w:multiLevelType w:val="multilevel"/>
    <w:tmpl w:val="2FFA0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B7E41"/>
    <w:multiLevelType w:val="hybridMultilevel"/>
    <w:tmpl w:val="8C3A0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A0"/>
    <w:rsid w:val="00045284"/>
    <w:rsid w:val="00054756"/>
    <w:rsid w:val="000C42FC"/>
    <w:rsid w:val="000F56C9"/>
    <w:rsid w:val="0010454F"/>
    <w:rsid w:val="001922A8"/>
    <w:rsid w:val="0019366C"/>
    <w:rsid w:val="00194AD0"/>
    <w:rsid w:val="001A3624"/>
    <w:rsid w:val="001A7DEF"/>
    <w:rsid w:val="00230D99"/>
    <w:rsid w:val="00241115"/>
    <w:rsid w:val="00265F3F"/>
    <w:rsid w:val="002C3558"/>
    <w:rsid w:val="002F6541"/>
    <w:rsid w:val="003063C8"/>
    <w:rsid w:val="0034359A"/>
    <w:rsid w:val="00397C4D"/>
    <w:rsid w:val="003E1B87"/>
    <w:rsid w:val="003E5CB9"/>
    <w:rsid w:val="004311A8"/>
    <w:rsid w:val="00442319"/>
    <w:rsid w:val="00495247"/>
    <w:rsid w:val="004C4384"/>
    <w:rsid w:val="005558C3"/>
    <w:rsid w:val="005601A2"/>
    <w:rsid w:val="00575B97"/>
    <w:rsid w:val="005A7055"/>
    <w:rsid w:val="005C4BA5"/>
    <w:rsid w:val="005D3754"/>
    <w:rsid w:val="005E1695"/>
    <w:rsid w:val="005F1B6C"/>
    <w:rsid w:val="0064460C"/>
    <w:rsid w:val="006474CD"/>
    <w:rsid w:val="006D50D5"/>
    <w:rsid w:val="00701963"/>
    <w:rsid w:val="00732D28"/>
    <w:rsid w:val="00747268"/>
    <w:rsid w:val="00764756"/>
    <w:rsid w:val="007A4C65"/>
    <w:rsid w:val="007B51AC"/>
    <w:rsid w:val="007D39EB"/>
    <w:rsid w:val="008129C9"/>
    <w:rsid w:val="00835EFA"/>
    <w:rsid w:val="00865B6B"/>
    <w:rsid w:val="0089488C"/>
    <w:rsid w:val="008E263A"/>
    <w:rsid w:val="008E3568"/>
    <w:rsid w:val="00943A8B"/>
    <w:rsid w:val="00946028"/>
    <w:rsid w:val="009764CA"/>
    <w:rsid w:val="0098193D"/>
    <w:rsid w:val="009E3B2D"/>
    <w:rsid w:val="00A04CE7"/>
    <w:rsid w:val="00A35D3E"/>
    <w:rsid w:val="00A460A3"/>
    <w:rsid w:val="00A6066B"/>
    <w:rsid w:val="00A75DBD"/>
    <w:rsid w:val="00AA46C7"/>
    <w:rsid w:val="00AD0AF9"/>
    <w:rsid w:val="00B707B5"/>
    <w:rsid w:val="00BB5666"/>
    <w:rsid w:val="00BE2D53"/>
    <w:rsid w:val="00C06D60"/>
    <w:rsid w:val="00C21A1F"/>
    <w:rsid w:val="00C224B6"/>
    <w:rsid w:val="00C579AF"/>
    <w:rsid w:val="00C65DF8"/>
    <w:rsid w:val="00CA3EB1"/>
    <w:rsid w:val="00CE4CFC"/>
    <w:rsid w:val="00D6698D"/>
    <w:rsid w:val="00D833BB"/>
    <w:rsid w:val="00DA3D80"/>
    <w:rsid w:val="00DC0C4C"/>
    <w:rsid w:val="00DF1A7A"/>
    <w:rsid w:val="00E02CAA"/>
    <w:rsid w:val="00E30F86"/>
    <w:rsid w:val="00E652A0"/>
    <w:rsid w:val="00E97031"/>
    <w:rsid w:val="00F04E82"/>
    <w:rsid w:val="00F2470A"/>
    <w:rsid w:val="00F34BC2"/>
    <w:rsid w:val="00F51EC1"/>
    <w:rsid w:val="00F77A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02DAF37"/>
  <w15:docId w15:val="{4C85E5FE-000B-4D7C-95D9-9F631FCF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84"/>
    <w:rPr>
      <w:kern w:val="2"/>
      <w14:ligatures w14:val="standardContextual"/>
    </w:rPr>
  </w:style>
  <w:style w:type="paragraph" w:styleId="Ttulo5">
    <w:name w:val="heading 5"/>
    <w:basedOn w:val="Normal"/>
    <w:link w:val="Ttulo5Car"/>
    <w:uiPriority w:val="9"/>
    <w:qFormat/>
    <w:rsid w:val="00732D28"/>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9"/>
  </w:style>
  <w:style w:type="paragraph" w:styleId="Piedepgina">
    <w:name w:val="footer"/>
    <w:basedOn w:val="Normal"/>
    <w:link w:val="PiedepginaCar"/>
    <w:uiPriority w:val="99"/>
    <w:unhideWhenUsed/>
    <w:rsid w:val="003E5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9"/>
  </w:style>
  <w:style w:type="paragraph" w:styleId="Prrafodelista">
    <w:name w:val="List Paragraph"/>
    <w:basedOn w:val="Normal"/>
    <w:uiPriority w:val="34"/>
    <w:qFormat/>
    <w:rsid w:val="00BE2D53"/>
    <w:pPr>
      <w:ind w:left="720"/>
      <w:contextualSpacing/>
    </w:pPr>
    <w:rPr>
      <w:rFonts w:eastAsia="SimSun"/>
    </w:rPr>
  </w:style>
  <w:style w:type="character" w:customStyle="1" w:styleId="Ttulo5Car">
    <w:name w:val="Título 5 Car"/>
    <w:basedOn w:val="Fuentedeprrafopredeter"/>
    <w:link w:val="Ttulo5"/>
    <w:uiPriority w:val="9"/>
    <w:rsid w:val="00732D28"/>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732D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
    <w:name w:val="Párrafo de lista1"/>
    <w:basedOn w:val="Normal"/>
    <w:uiPriority w:val="34"/>
    <w:qFormat/>
    <w:rsid w:val="004C4384"/>
    <w:pPr>
      <w:spacing w:after="0" w:line="240" w:lineRule="auto"/>
      <w:ind w:left="720"/>
      <w:contextualSpacing/>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17183">
      <w:bodyDiv w:val="1"/>
      <w:marLeft w:val="0"/>
      <w:marRight w:val="0"/>
      <w:marTop w:val="0"/>
      <w:marBottom w:val="0"/>
      <w:divBdr>
        <w:top w:val="none" w:sz="0" w:space="0" w:color="auto"/>
        <w:left w:val="none" w:sz="0" w:space="0" w:color="auto"/>
        <w:bottom w:val="none" w:sz="0" w:space="0" w:color="auto"/>
        <w:right w:val="none" w:sz="0" w:space="0" w:color="auto"/>
      </w:divBdr>
      <w:divsChild>
        <w:div w:id="191341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86E35-E104-479F-8B6E-C549BA7AF15D}"/>
</file>

<file path=customXml/itemProps2.xml><?xml version="1.0" encoding="utf-8"?>
<ds:datastoreItem xmlns:ds="http://schemas.openxmlformats.org/officeDocument/2006/customXml" ds:itemID="{69914B27-14B2-417C-96F8-F75612D5FA86}"/>
</file>

<file path=customXml/itemProps3.xml><?xml version="1.0" encoding="utf-8"?>
<ds:datastoreItem xmlns:ds="http://schemas.openxmlformats.org/officeDocument/2006/customXml" ds:itemID="{8566D633-2172-4887-9EEC-0F7C973BC6E2}"/>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Ballesteros</dc:creator>
  <cp:lastModifiedBy>Maite Delamo del Castillo</cp:lastModifiedBy>
  <cp:revision>2</cp:revision>
  <cp:lastPrinted>2018-06-11T08:51:00Z</cp:lastPrinted>
  <dcterms:created xsi:type="dcterms:W3CDTF">2024-09-24T08:53:00Z</dcterms:created>
  <dcterms:modified xsi:type="dcterms:W3CDTF">2024-09-24T08:53:00Z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